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DA56E" w14:textId="6959C53B" w:rsidR="00ED34E1" w:rsidRDefault="007C6BA3">
      <w:pPr>
        <w:pStyle w:val="Heading1"/>
      </w:pPr>
      <w:bookmarkStart w:id="0" w:name="_Toc98777043"/>
      <w:r>
        <w:t xml:space="preserve">Annex </w:t>
      </w:r>
      <w:r w:rsidR="001D6575">
        <w:t>B</w:t>
      </w:r>
      <w:r>
        <w:t xml:space="preserve">: </w:t>
      </w:r>
      <w:bookmarkEnd w:id="0"/>
      <w:r w:rsidR="001D6575">
        <w:t xml:space="preserve">Cost of Care Report – </w:t>
      </w:r>
      <w:r w:rsidR="00375A47">
        <w:t>Lewisham</w:t>
      </w:r>
      <w:r w:rsidR="001D6575">
        <w:t xml:space="preserve"> </w:t>
      </w:r>
      <w:r w:rsidR="005D1684">
        <w:t>Older People’s</w:t>
      </w:r>
      <w:r w:rsidR="001D6575">
        <w:t xml:space="preserve"> Care</w:t>
      </w:r>
      <w:r w:rsidR="005D1684">
        <w:t xml:space="preserve"> Homes</w:t>
      </w:r>
      <w:r w:rsidR="001D6575">
        <w:t xml:space="preserve"> (</w:t>
      </w:r>
      <w:r w:rsidR="005D1684">
        <w:t>65</w:t>
      </w:r>
      <w:r w:rsidR="001D6575">
        <w:t>+)</w:t>
      </w:r>
    </w:p>
    <w:p w14:paraId="073AA7C4" w14:textId="7042CB3D" w:rsidR="001D6575" w:rsidRDefault="001D6575" w:rsidP="001D6575"/>
    <w:p w14:paraId="1B59C020" w14:textId="6BA17EEC" w:rsidR="00541E56" w:rsidRDefault="00541E56" w:rsidP="00541E56">
      <w:r w:rsidRPr="00B357E1">
        <w:t xml:space="preserve">This report outlines the process followed by the London Borough of </w:t>
      </w:r>
      <w:r w:rsidR="00375A47">
        <w:t>Lewisham</w:t>
      </w:r>
      <w:r w:rsidRPr="00B357E1">
        <w:t xml:space="preserve"> to complete the cost of care exercise for the Market Sustainability and Fair Cost of Care Fund, working with local providers</w:t>
      </w:r>
      <w:r>
        <w:t xml:space="preserve"> of older people’s care homes</w:t>
      </w:r>
      <w:r w:rsidRPr="00B357E1">
        <w:t xml:space="preserve">. This includes the borough’s approach to analysis of provider cost of care data </w:t>
      </w:r>
      <w:r>
        <w:t>to produce the information detailed in Annex A.</w:t>
      </w:r>
    </w:p>
    <w:p w14:paraId="5D2C59B3" w14:textId="3678B3E7" w:rsidR="00541E56" w:rsidRPr="00B357E1" w:rsidRDefault="00541E56" w:rsidP="00541E56">
      <w:r>
        <w:t xml:space="preserve">This exercise presented significant and fundamental constraints, including issues with data quality, lack of clarity in the structure and guidance for the exercise and unreliable results being produced by the mathematical median calculation method. These challenges are detailed </w:t>
      </w:r>
      <w:r w:rsidR="0062071E">
        <w:t xml:space="preserve">further under Part Two. </w:t>
      </w:r>
      <w:r w:rsidRPr="0015014C">
        <w:t>These limitations are such that the results produced by this exercise cannot be treated as wholly reliable or accurate.</w:t>
      </w:r>
      <w:r>
        <w:t xml:space="preserve"> </w:t>
      </w:r>
      <w:r w:rsidR="00375A47" w:rsidRPr="008B749F">
        <w:rPr>
          <w:i/>
        </w:rPr>
        <w:t>Lewisham</w:t>
      </w:r>
      <w:r w:rsidRPr="008B749F">
        <w:rPr>
          <w:i/>
        </w:rPr>
        <w:t xml:space="preserve"> intends to</w:t>
      </w:r>
      <w:r w:rsidR="00746381" w:rsidRPr="008B749F">
        <w:rPr>
          <w:i/>
        </w:rPr>
        <w:t xml:space="preserve"> continue</w:t>
      </w:r>
      <w:r w:rsidRPr="008B749F">
        <w:rPr>
          <w:i/>
        </w:rPr>
        <w:t xml:space="preserve"> work</w:t>
      </w:r>
      <w:r w:rsidR="00746381" w:rsidRPr="008B749F">
        <w:rPr>
          <w:i/>
        </w:rPr>
        <w:t>ing</w:t>
      </w:r>
      <w:r w:rsidRPr="008B749F">
        <w:rPr>
          <w:i/>
        </w:rPr>
        <w:t xml:space="preserve"> with providers </w:t>
      </w:r>
      <w:r w:rsidR="0092486A">
        <w:rPr>
          <w:i/>
        </w:rPr>
        <w:t xml:space="preserve">across the rest of </w:t>
      </w:r>
      <w:r w:rsidR="00C51F12" w:rsidRPr="008B749F">
        <w:rPr>
          <w:i/>
        </w:rPr>
        <w:t>2022/23</w:t>
      </w:r>
      <w:r w:rsidRPr="008B749F">
        <w:rPr>
          <w:i/>
        </w:rPr>
        <w:t xml:space="preserve"> to agree local fee rates that are sustainable for the </w:t>
      </w:r>
      <w:r w:rsidR="00375A47" w:rsidRPr="008B749F">
        <w:rPr>
          <w:i/>
        </w:rPr>
        <w:t>Lewisham</w:t>
      </w:r>
      <w:r w:rsidRPr="008B749F">
        <w:rPr>
          <w:i/>
        </w:rPr>
        <w:t xml:space="preserve"> market</w:t>
      </w:r>
      <w:r w:rsidRPr="008B749F">
        <w:t>.</w:t>
      </w:r>
    </w:p>
    <w:p w14:paraId="3F958C29" w14:textId="1060C184" w:rsidR="00662C64" w:rsidRPr="00FA1929" w:rsidRDefault="00662C64" w:rsidP="00662C64">
      <w:pPr>
        <w:rPr>
          <w:u w:val="single"/>
        </w:rPr>
      </w:pPr>
      <w:r>
        <w:rPr>
          <w:b/>
          <w:bCs/>
          <w:u w:val="single"/>
        </w:rPr>
        <w:t xml:space="preserve">Part One: </w:t>
      </w:r>
      <w:r w:rsidRPr="00FA1929">
        <w:rPr>
          <w:b/>
          <w:bCs/>
          <w:u w:val="single"/>
        </w:rPr>
        <w:t xml:space="preserve">Overview of the process for completing the exercise: </w:t>
      </w:r>
    </w:p>
    <w:p w14:paraId="6F585860" w14:textId="194D32D5" w:rsidR="00BC15FA" w:rsidRPr="00554F54" w:rsidRDefault="00BC15FA" w:rsidP="00BC15FA">
      <w:pPr>
        <w:spacing w:after="0"/>
        <w:contextualSpacing/>
        <w:rPr>
          <w:b/>
          <w:bCs/>
        </w:rPr>
      </w:pPr>
      <w:r w:rsidRPr="00554F54">
        <w:rPr>
          <w:b/>
          <w:bCs/>
        </w:rPr>
        <w:t xml:space="preserve">Defining the scope of the </w:t>
      </w:r>
      <w:r w:rsidR="00746A3E" w:rsidRPr="00554F54">
        <w:rPr>
          <w:b/>
          <w:bCs/>
        </w:rPr>
        <w:t>older people’s care home</w:t>
      </w:r>
      <w:r w:rsidRPr="00554F54">
        <w:rPr>
          <w:b/>
          <w:bCs/>
        </w:rPr>
        <w:t xml:space="preserve"> market</w:t>
      </w:r>
    </w:p>
    <w:p w14:paraId="5685DC54" w14:textId="6E8C87C4" w:rsidR="00746A3E" w:rsidRPr="00554F54" w:rsidRDefault="00746A3E" w:rsidP="00BC15FA">
      <w:pPr>
        <w:pStyle w:val="ListParagraph"/>
        <w:numPr>
          <w:ilvl w:val="0"/>
          <w:numId w:val="9"/>
        </w:numPr>
        <w:suppressAutoHyphens w:val="0"/>
        <w:autoSpaceDN/>
        <w:spacing w:line="259" w:lineRule="auto"/>
        <w:contextualSpacing/>
        <w:textAlignment w:val="auto"/>
        <w:rPr>
          <w:b/>
        </w:rPr>
      </w:pPr>
      <w:r w:rsidRPr="00554F54">
        <w:t xml:space="preserve">With reference to the DHSC Fair Cost of Care guidance, and after clarifying scope with the LGA, </w:t>
      </w:r>
      <w:r w:rsidR="00375A47">
        <w:t>Lewisham</w:t>
      </w:r>
      <w:r w:rsidRPr="00554F54">
        <w:t xml:space="preserve"> identified the scope of the market for this exercise as </w:t>
      </w:r>
      <w:r w:rsidR="00B009F7" w:rsidRPr="00554F54">
        <w:t xml:space="preserve">all care homes whose primary purpose is to provide </w:t>
      </w:r>
      <w:r w:rsidR="00D1099F" w:rsidRPr="00554F54">
        <w:t>care to older people aged 65+.</w:t>
      </w:r>
      <w:r w:rsidR="004A43AD" w:rsidRPr="00554F54">
        <w:t xml:space="preserve"> </w:t>
      </w:r>
      <w:r w:rsidR="00F8106D" w:rsidRPr="00554F54">
        <w:t>This excluded homes that primarily provide specialist care (mental health, physical disability, learning disability).</w:t>
      </w:r>
    </w:p>
    <w:p w14:paraId="0C3652DD" w14:textId="4F9A7D2F" w:rsidR="00EE2B51" w:rsidRPr="00554F54" w:rsidRDefault="00375A47" w:rsidP="00BC15FA">
      <w:pPr>
        <w:pStyle w:val="ListParagraph"/>
        <w:numPr>
          <w:ilvl w:val="0"/>
          <w:numId w:val="9"/>
        </w:numPr>
        <w:suppressAutoHyphens w:val="0"/>
        <w:autoSpaceDN/>
        <w:spacing w:line="259" w:lineRule="auto"/>
        <w:contextualSpacing/>
        <w:textAlignment w:val="auto"/>
        <w:rPr>
          <w:b/>
        </w:rPr>
      </w:pPr>
      <w:r>
        <w:t>Lewisham</w:t>
      </w:r>
      <w:r w:rsidR="00DE482C">
        <w:t xml:space="preserve"> wrote to all 15</w:t>
      </w:r>
      <w:r w:rsidR="00EE2B51" w:rsidRPr="00554F54">
        <w:t xml:space="preserve"> </w:t>
      </w:r>
      <w:r>
        <w:t>Lewisham</w:t>
      </w:r>
      <w:r w:rsidR="00F8106D" w:rsidRPr="00554F54">
        <w:t xml:space="preserve"> care </w:t>
      </w:r>
      <w:r w:rsidR="00EE2B51" w:rsidRPr="00554F54">
        <w:t>homes within the scope of the Fai</w:t>
      </w:r>
      <w:r w:rsidR="00746381">
        <w:t>r Cost of Care exercise to</w:t>
      </w:r>
      <w:r w:rsidR="00EE2B51" w:rsidRPr="00554F54">
        <w:t xml:space="preserve"> invite them to participate in the exercise and to register for the </w:t>
      </w:r>
      <w:r w:rsidR="0092486A">
        <w:t>iESE</w:t>
      </w:r>
      <w:r w:rsidR="00EE2B51" w:rsidRPr="00554F54">
        <w:t xml:space="preserve"> platform </w:t>
      </w:r>
      <w:r w:rsidR="00224A96" w:rsidRPr="00554F54">
        <w:t>in readiness to submit their cost of care information.</w:t>
      </w:r>
    </w:p>
    <w:p w14:paraId="1E0B6FEC" w14:textId="77777777" w:rsidR="00BC15FA" w:rsidRPr="007D2A6F" w:rsidRDefault="00BC15FA" w:rsidP="00BC15FA">
      <w:pPr>
        <w:suppressAutoHyphens w:val="0"/>
        <w:autoSpaceDN/>
        <w:spacing w:after="0" w:line="259" w:lineRule="auto"/>
        <w:contextualSpacing/>
        <w:textAlignment w:val="auto"/>
        <w:rPr>
          <w:b/>
        </w:rPr>
      </w:pPr>
      <w:r w:rsidRPr="00554F54">
        <w:rPr>
          <w:b/>
        </w:rPr>
        <w:t>Response rate</w:t>
      </w:r>
    </w:p>
    <w:p w14:paraId="37D16AF4" w14:textId="74C14CDD" w:rsidR="00BC15FA" w:rsidRPr="00FA1929" w:rsidRDefault="00746381" w:rsidP="00BC15FA">
      <w:pPr>
        <w:pStyle w:val="ListParagraph"/>
        <w:numPr>
          <w:ilvl w:val="0"/>
          <w:numId w:val="9"/>
        </w:numPr>
        <w:suppressAutoHyphens w:val="0"/>
        <w:autoSpaceDN/>
        <w:spacing w:line="259" w:lineRule="auto"/>
        <w:contextualSpacing/>
        <w:textAlignment w:val="auto"/>
        <w:rPr>
          <w:b/>
        </w:rPr>
      </w:pPr>
      <w:r>
        <w:t xml:space="preserve">Six Care homes </w:t>
      </w:r>
      <w:r w:rsidRPr="00746381">
        <w:rPr>
          <w:b/>
        </w:rPr>
        <w:t>(</w:t>
      </w:r>
      <w:r w:rsidR="003830FC">
        <w:rPr>
          <w:b/>
        </w:rPr>
        <w:t>40</w:t>
      </w:r>
      <w:r w:rsidR="00DD36BF" w:rsidRPr="00746381">
        <w:rPr>
          <w:b/>
        </w:rPr>
        <w:t xml:space="preserve">%) </w:t>
      </w:r>
      <w:r w:rsidR="00DD36BF">
        <w:t xml:space="preserve">responded to the exercise and return cost of care information to the local authority, via the </w:t>
      </w:r>
      <w:r w:rsidR="0092486A">
        <w:t>iESE</w:t>
      </w:r>
      <w:r w:rsidR="00DD36BF">
        <w:t xml:space="preserve"> platform.</w:t>
      </w:r>
    </w:p>
    <w:p w14:paraId="5743536E" w14:textId="77777777" w:rsidR="00BC15FA" w:rsidRDefault="00BC15FA" w:rsidP="00BC15FA">
      <w:pPr>
        <w:suppressAutoHyphens w:val="0"/>
        <w:autoSpaceDN/>
        <w:spacing w:after="0" w:line="259" w:lineRule="auto"/>
        <w:contextualSpacing/>
        <w:textAlignment w:val="auto"/>
        <w:rPr>
          <w:b/>
        </w:rPr>
      </w:pPr>
      <w:r>
        <w:rPr>
          <w:b/>
        </w:rPr>
        <w:t>Engagement with providers to promote completion of cost of care toolkits</w:t>
      </w:r>
    </w:p>
    <w:p w14:paraId="2AE0D369" w14:textId="2AB79E81" w:rsidR="00D7544C" w:rsidRDefault="00DE482C" w:rsidP="00E748A5">
      <w:pPr>
        <w:pStyle w:val="ListParagraph"/>
        <w:numPr>
          <w:ilvl w:val="0"/>
          <w:numId w:val="9"/>
        </w:numPr>
        <w:suppressAutoHyphens w:val="0"/>
        <w:autoSpaceDN/>
        <w:spacing w:line="259" w:lineRule="auto"/>
        <w:contextualSpacing/>
        <w:textAlignment w:val="auto"/>
      </w:pPr>
      <w:r>
        <w:t xml:space="preserve">The </w:t>
      </w:r>
      <w:r w:rsidR="001A569D">
        <w:t>15 OP</w:t>
      </w:r>
      <w:r w:rsidR="00D7544C">
        <w:t xml:space="preserve"> homes were invited to participate in the exercise and submit their cost of care information to </w:t>
      </w:r>
      <w:r w:rsidR="00375A47">
        <w:t>Lewisham</w:t>
      </w:r>
      <w:r w:rsidR="00D7544C">
        <w:t xml:space="preserve"> by </w:t>
      </w:r>
      <w:r w:rsidR="003830FC" w:rsidRPr="003830FC">
        <w:t>the end of August 2022</w:t>
      </w:r>
      <w:r w:rsidR="00D7544C" w:rsidRPr="003830FC">
        <w:t>.</w:t>
      </w:r>
      <w:r w:rsidR="00D7544C">
        <w:t xml:space="preserve"> </w:t>
      </w:r>
    </w:p>
    <w:p w14:paraId="2D4C4031" w14:textId="36AE9D7E" w:rsidR="00D7544C" w:rsidRDefault="00D7544C" w:rsidP="00E748A5">
      <w:pPr>
        <w:pStyle w:val="ListParagraph"/>
        <w:numPr>
          <w:ilvl w:val="0"/>
          <w:numId w:val="9"/>
        </w:numPr>
        <w:suppressAutoHyphens w:val="0"/>
        <w:autoSpaceDN/>
        <w:spacing w:line="259" w:lineRule="auto"/>
        <w:contextualSpacing/>
        <w:textAlignment w:val="auto"/>
      </w:pPr>
      <w:r>
        <w:t xml:space="preserve">LB </w:t>
      </w:r>
      <w:r w:rsidR="00375A47">
        <w:t>Lewisham</w:t>
      </w:r>
      <w:r>
        <w:t xml:space="preserve"> </w:t>
      </w:r>
      <w:r w:rsidR="009B2527">
        <w:t>commissioning</w:t>
      </w:r>
      <w:r>
        <w:t xml:space="preserve"> and Finance leads hosted a F</w:t>
      </w:r>
      <w:r w:rsidR="009B6C49">
        <w:t xml:space="preserve">air </w:t>
      </w:r>
      <w:r>
        <w:t>C</w:t>
      </w:r>
      <w:r w:rsidR="009B6C49">
        <w:t xml:space="preserve">ost of </w:t>
      </w:r>
      <w:r>
        <w:t>C</w:t>
      </w:r>
      <w:r w:rsidR="009B6C49">
        <w:t>are</w:t>
      </w:r>
      <w:r>
        <w:t xml:space="preserve"> engagement session for the</w:t>
      </w:r>
      <w:r w:rsidR="009B6C49">
        <w:t xml:space="preserve"> older people’s care</w:t>
      </w:r>
      <w:r w:rsidR="003830FC">
        <w:t xml:space="preserve"> homes in scope </w:t>
      </w:r>
      <w:r>
        <w:t xml:space="preserve">to discuss the exercise and answer questions. </w:t>
      </w:r>
      <w:r w:rsidR="008D53E7">
        <w:t xml:space="preserve">This included sharing a </w:t>
      </w:r>
      <w:r w:rsidR="00B22196">
        <w:t>step-by-step</w:t>
      </w:r>
      <w:r w:rsidR="008D53E7">
        <w:t xml:space="preserve"> overview of registration for the </w:t>
      </w:r>
      <w:r w:rsidR="0092486A">
        <w:t xml:space="preserve">iESE </w:t>
      </w:r>
      <w:r w:rsidR="008D53E7">
        <w:t>tool and the data submission workflow within the website.</w:t>
      </w:r>
    </w:p>
    <w:p w14:paraId="09D4EBB7" w14:textId="63DCB121" w:rsidR="00D7544C" w:rsidRDefault="00D7544C" w:rsidP="00E748A5">
      <w:pPr>
        <w:pStyle w:val="ListParagraph"/>
        <w:numPr>
          <w:ilvl w:val="0"/>
          <w:numId w:val="9"/>
        </w:numPr>
        <w:suppressAutoHyphens w:val="0"/>
        <w:autoSpaceDN/>
        <w:spacing w:line="259" w:lineRule="auto"/>
        <w:contextualSpacing/>
        <w:textAlignment w:val="auto"/>
      </w:pPr>
      <w:r>
        <w:t xml:space="preserve">LB </w:t>
      </w:r>
      <w:r w:rsidR="00375A47">
        <w:t>Lewisham</w:t>
      </w:r>
      <w:r>
        <w:t xml:space="preserve"> circulated guidance, information and event invitations relating to the national programme including engagement sessions run by iESE in relation to the FCC tool. LB </w:t>
      </w:r>
      <w:r w:rsidR="00375A47">
        <w:t>Lewisham</w:t>
      </w:r>
      <w:r>
        <w:t xml:space="preserve"> extended the final deadline repeatedly to the end of July to ensure providers had sufficient time to submit their cost information.</w:t>
      </w:r>
    </w:p>
    <w:p w14:paraId="4011DA68" w14:textId="24842E55" w:rsidR="008D53E7" w:rsidRDefault="00375A47" w:rsidP="00E748A5">
      <w:pPr>
        <w:pStyle w:val="ListParagraph"/>
        <w:numPr>
          <w:ilvl w:val="0"/>
          <w:numId w:val="9"/>
        </w:numPr>
        <w:suppressAutoHyphens w:val="0"/>
        <w:autoSpaceDN/>
        <w:spacing w:line="259" w:lineRule="auto"/>
        <w:contextualSpacing/>
        <w:textAlignment w:val="auto"/>
      </w:pPr>
      <w:r>
        <w:lastRenderedPageBreak/>
        <w:t>Lewisham</w:t>
      </w:r>
      <w:r w:rsidR="008D53E7">
        <w:t xml:space="preserve"> contacted providers who had not yet registered </w:t>
      </w:r>
      <w:r w:rsidR="00B22196">
        <w:t xml:space="preserve">or had not yet submitted information prior to the </w:t>
      </w:r>
      <w:r>
        <w:t>Lewisham</w:t>
      </w:r>
      <w:r w:rsidR="00B22196">
        <w:t xml:space="preserve"> deadline to confirm if they were experiencing any issues. Where this was the case, </w:t>
      </w:r>
      <w:r w:rsidR="00D34AE6">
        <w:t xml:space="preserve">the </w:t>
      </w:r>
      <w:r w:rsidR="00EB5D34">
        <w:t>f</w:t>
      </w:r>
      <w:r w:rsidR="00D34AE6">
        <w:t>inance lead for the exercise offered to meet with providers if they needed clarification of the process or were experiencing difficulties with data entry.</w:t>
      </w:r>
      <w:r w:rsidR="009B6C49">
        <w:t xml:space="preserve"> </w:t>
      </w:r>
    </w:p>
    <w:p w14:paraId="6B1BE870" w14:textId="7DF24991" w:rsidR="00D7544C" w:rsidRPr="00C951CF" w:rsidRDefault="00DE482C" w:rsidP="00E748A5">
      <w:pPr>
        <w:pStyle w:val="ListParagraph"/>
        <w:numPr>
          <w:ilvl w:val="0"/>
          <w:numId w:val="9"/>
        </w:numPr>
        <w:suppressAutoHyphens w:val="0"/>
        <w:autoSpaceDN/>
        <w:spacing w:line="259" w:lineRule="auto"/>
        <w:contextualSpacing/>
        <w:textAlignment w:val="auto"/>
      </w:pPr>
      <w:r>
        <w:t xml:space="preserve">All 6 </w:t>
      </w:r>
      <w:r w:rsidR="00D7544C">
        <w:t xml:space="preserve">OP homes submitted FCC information via the </w:t>
      </w:r>
      <w:r w:rsidR="00EB5D34">
        <w:t>iESE</w:t>
      </w:r>
      <w:r w:rsidR="00D7544C">
        <w:t xml:space="preserve"> FCC tool that </w:t>
      </w:r>
      <w:r w:rsidR="00375A47">
        <w:t>Lewisham</w:t>
      </w:r>
      <w:r w:rsidR="00D7544C">
        <w:t xml:space="preserve"> used for the exercise, in line with national guidance.</w:t>
      </w:r>
    </w:p>
    <w:p w14:paraId="59554630" w14:textId="77777777" w:rsidR="00BC15FA" w:rsidRDefault="00BC15FA" w:rsidP="00BC15FA">
      <w:pPr>
        <w:suppressAutoHyphens w:val="0"/>
        <w:autoSpaceDN/>
        <w:spacing w:line="259" w:lineRule="auto"/>
        <w:contextualSpacing/>
        <w:textAlignment w:val="auto"/>
        <w:rPr>
          <w:b/>
        </w:rPr>
      </w:pPr>
    </w:p>
    <w:p w14:paraId="377275D5" w14:textId="77777777" w:rsidR="00BC15FA" w:rsidRDefault="00BC15FA" w:rsidP="00BC15FA">
      <w:pPr>
        <w:suppressAutoHyphens w:val="0"/>
        <w:autoSpaceDN/>
        <w:spacing w:after="0" w:line="259" w:lineRule="auto"/>
        <w:contextualSpacing/>
        <w:textAlignment w:val="auto"/>
        <w:rPr>
          <w:b/>
        </w:rPr>
      </w:pPr>
      <w:r>
        <w:rPr>
          <w:b/>
        </w:rPr>
        <w:t>Quality assurance and provider queries</w:t>
      </w:r>
    </w:p>
    <w:p w14:paraId="13623A4A" w14:textId="52FD45F2" w:rsidR="00553B81" w:rsidRDefault="00553B81" w:rsidP="00553B81">
      <w:pPr>
        <w:pStyle w:val="ListParagraph"/>
        <w:numPr>
          <w:ilvl w:val="0"/>
          <w:numId w:val="8"/>
        </w:numPr>
        <w:contextualSpacing/>
      </w:pPr>
      <w:r w:rsidRPr="005B4277">
        <w:t xml:space="preserve">After closing the final window for </w:t>
      </w:r>
      <w:r w:rsidR="003830FC">
        <w:t xml:space="preserve">provider toolkit submissions at the end of August 2022. </w:t>
      </w:r>
      <w:r w:rsidR="004A4F2E" w:rsidRPr="005B4277">
        <w:t>Lewisham</w:t>
      </w:r>
      <w:r w:rsidRPr="005B4277">
        <w:t xml:space="preserve"> commenced a process of quality assurance led by the Finance </w:t>
      </w:r>
      <w:r w:rsidR="00EB5D34">
        <w:t>D</w:t>
      </w:r>
      <w:r w:rsidRPr="005B4277">
        <w:t>epartment, with support from Commissioning</w:t>
      </w:r>
      <w:r>
        <w:t>.</w:t>
      </w:r>
    </w:p>
    <w:p w14:paraId="3A62DCE2" w14:textId="64A0C2C9" w:rsidR="00553B81" w:rsidRPr="005B4277" w:rsidRDefault="00375A47" w:rsidP="0007635B">
      <w:pPr>
        <w:pStyle w:val="ListParagraph"/>
        <w:numPr>
          <w:ilvl w:val="0"/>
          <w:numId w:val="8"/>
        </w:numPr>
        <w:spacing w:after="0"/>
        <w:contextualSpacing/>
      </w:pPr>
      <w:r>
        <w:t>Lewisham</w:t>
      </w:r>
      <w:r w:rsidR="00553B81">
        <w:t xml:space="preserve"> collated the toolkit information submitted by providers and reviewed each submission line by line. Where specific cost lines diverged significantly from expected levels and / or other submissions, </w:t>
      </w:r>
      <w:r>
        <w:t>Lewisham</w:t>
      </w:r>
      <w:r w:rsidR="00553B81">
        <w:t xml:space="preserve"> contacted providers to query this and invited providers to review and re-submit </w:t>
      </w:r>
      <w:r w:rsidR="00827EAE">
        <w:t>where appropriate.</w:t>
      </w:r>
    </w:p>
    <w:p w14:paraId="32547481" w14:textId="0C9FA36C" w:rsidR="00644142" w:rsidRDefault="00644142" w:rsidP="00644142">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 xml:space="preserve">Providers </w:t>
      </w:r>
      <w:r w:rsidR="00827EAE">
        <w:rPr>
          <w:rStyle w:val="normaltextrun"/>
          <w:rFonts w:ascii="Arial" w:hAnsi="Arial" w:cs="Arial"/>
        </w:rPr>
        <w:t>had access to</w:t>
      </w:r>
      <w:r w:rsidR="00EB5D34">
        <w:rPr>
          <w:rStyle w:val="normaltextrun"/>
          <w:rFonts w:ascii="Arial" w:hAnsi="Arial" w:cs="Arial"/>
        </w:rPr>
        <w:t>, and could request additional,</w:t>
      </w:r>
      <w:r w:rsidR="00827EAE">
        <w:rPr>
          <w:rStyle w:val="normaltextrun"/>
          <w:rFonts w:ascii="Arial" w:hAnsi="Arial" w:cs="Arial"/>
        </w:rPr>
        <w:t xml:space="preserve"> one</w:t>
      </w:r>
      <w:r>
        <w:rPr>
          <w:rStyle w:val="normaltextrun"/>
          <w:rFonts w:ascii="Arial" w:hAnsi="Arial" w:cs="Arial"/>
        </w:rPr>
        <w:t xml:space="preserve">-to-one support calls with </w:t>
      </w:r>
      <w:r w:rsidR="00EB5D34">
        <w:rPr>
          <w:rStyle w:val="normaltextrun"/>
          <w:rFonts w:ascii="Arial" w:hAnsi="Arial" w:cs="Arial"/>
        </w:rPr>
        <w:t xml:space="preserve">the </w:t>
      </w:r>
      <w:r w:rsidR="00375A47">
        <w:rPr>
          <w:rStyle w:val="normaltextrun"/>
          <w:rFonts w:ascii="Arial" w:hAnsi="Arial" w:cs="Arial"/>
        </w:rPr>
        <w:t>Lewisham</w:t>
      </w:r>
      <w:r>
        <w:rPr>
          <w:rStyle w:val="normaltextrun"/>
          <w:rFonts w:ascii="Arial" w:hAnsi="Arial" w:cs="Arial"/>
        </w:rPr>
        <w:t xml:space="preserve"> </w:t>
      </w:r>
      <w:r w:rsidR="00EB5D34">
        <w:rPr>
          <w:rStyle w:val="normaltextrun"/>
          <w:rFonts w:ascii="Arial" w:hAnsi="Arial" w:cs="Arial"/>
        </w:rPr>
        <w:t>f</w:t>
      </w:r>
      <w:r>
        <w:rPr>
          <w:rStyle w:val="normaltextrun"/>
          <w:rFonts w:ascii="Arial" w:hAnsi="Arial" w:cs="Arial"/>
        </w:rPr>
        <w:t>inance</w:t>
      </w:r>
      <w:r w:rsidR="009E5E59">
        <w:rPr>
          <w:rStyle w:val="normaltextrun"/>
          <w:rFonts w:ascii="Arial" w:hAnsi="Arial" w:cs="Arial"/>
        </w:rPr>
        <w:t xml:space="preserve"> </w:t>
      </w:r>
      <w:r w:rsidR="00EB5D34">
        <w:rPr>
          <w:rStyle w:val="normaltextrun"/>
          <w:rFonts w:ascii="Arial" w:hAnsi="Arial" w:cs="Arial"/>
        </w:rPr>
        <w:t>l</w:t>
      </w:r>
      <w:r w:rsidR="00827EAE">
        <w:rPr>
          <w:rStyle w:val="normaltextrun"/>
          <w:rFonts w:ascii="Arial" w:hAnsi="Arial" w:cs="Arial"/>
        </w:rPr>
        <w:t>ead, where</w:t>
      </w:r>
      <w:r w:rsidR="009E5E59">
        <w:rPr>
          <w:rStyle w:val="normaltextrun"/>
          <w:rFonts w:ascii="Arial" w:hAnsi="Arial" w:cs="Arial"/>
        </w:rPr>
        <w:t xml:space="preserve"> required </w:t>
      </w:r>
      <w:r>
        <w:rPr>
          <w:rStyle w:val="normaltextrun"/>
          <w:rFonts w:ascii="Arial" w:hAnsi="Arial" w:cs="Arial"/>
        </w:rPr>
        <w:t>to discuss and add</w:t>
      </w:r>
      <w:r w:rsidR="00827EAE">
        <w:rPr>
          <w:rStyle w:val="normaltextrun"/>
          <w:rFonts w:ascii="Arial" w:hAnsi="Arial" w:cs="Arial"/>
        </w:rPr>
        <w:t>ress quality assurance queries.</w:t>
      </w:r>
    </w:p>
    <w:p w14:paraId="0BF7A8AA" w14:textId="77777777" w:rsidR="00BC15FA" w:rsidRDefault="00BC15FA" w:rsidP="00BC15FA">
      <w:pPr>
        <w:suppressAutoHyphens w:val="0"/>
        <w:autoSpaceDN/>
        <w:spacing w:line="259" w:lineRule="auto"/>
        <w:contextualSpacing/>
        <w:textAlignment w:val="auto"/>
        <w:rPr>
          <w:b/>
        </w:rPr>
      </w:pPr>
    </w:p>
    <w:p w14:paraId="370E2FD7" w14:textId="235FCA1F" w:rsidR="00BC15FA" w:rsidRPr="00823AEE" w:rsidRDefault="00BC15FA" w:rsidP="00BC15FA">
      <w:pPr>
        <w:suppressAutoHyphens w:val="0"/>
        <w:autoSpaceDN/>
        <w:spacing w:after="0" w:line="259" w:lineRule="auto"/>
        <w:contextualSpacing/>
        <w:textAlignment w:val="auto"/>
        <w:rPr>
          <w:b/>
        </w:rPr>
      </w:pPr>
      <w:r>
        <w:rPr>
          <w:b/>
        </w:rPr>
        <w:t>Provider</w:t>
      </w:r>
      <w:r w:rsidR="008314E5">
        <w:rPr>
          <w:b/>
        </w:rPr>
        <w:t xml:space="preserve"> </w:t>
      </w:r>
      <w:r>
        <w:rPr>
          <w:b/>
        </w:rPr>
        <w:t>engagement regarding Market Sustainability Plan and toolkit analysis</w:t>
      </w:r>
    </w:p>
    <w:p w14:paraId="364E19C8" w14:textId="7A60D14F" w:rsidR="00BC15FA" w:rsidRPr="005322CB" w:rsidRDefault="00375A47" w:rsidP="00BC15FA">
      <w:pPr>
        <w:pStyle w:val="ListParagraph"/>
        <w:numPr>
          <w:ilvl w:val="0"/>
          <w:numId w:val="8"/>
        </w:numPr>
        <w:contextualSpacing/>
      </w:pPr>
      <w:r>
        <w:t>Lewisham</w:t>
      </w:r>
      <w:r w:rsidR="00EB5D34">
        <w:t>’s</w:t>
      </w:r>
      <w:r w:rsidR="00BC15FA" w:rsidRPr="00C416E7">
        <w:t xml:space="preserve"> Market Sustainability Plan</w:t>
      </w:r>
      <w:r w:rsidR="00EB5D34">
        <w:t xml:space="preserve"> was developed by the Council’s Adult Social Care Reform Programme Board which includes senior managers from Social Care, Commissioning, </w:t>
      </w:r>
      <w:bookmarkStart w:id="1" w:name="_GoBack"/>
      <w:bookmarkEnd w:id="1"/>
      <w:r w:rsidR="00B01DC3">
        <w:t>and Finance</w:t>
      </w:r>
      <w:r w:rsidR="004A4F2E">
        <w:t xml:space="preserve"> </w:t>
      </w:r>
      <w:r w:rsidR="004A4F2E" w:rsidRPr="005322CB">
        <w:t>and</w:t>
      </w:r>
      <w:r w:rsidR="00BC15FA" w:rsidRPr="005322CB">
        <w:t xml:space="preserve"> </w:t>
      </w:r>
      <w:r w:rsidR="00EB5D34">
        <w:t>P</w:t>
      </w:r>
      <w:r w:rsidR="00BC15FA" w:rsidRPr="005322CB">
        <w:t>erformance team</w:t>
      </w:r>
      <w:r w:rsidR="00EB5D34">
        <w:t>s</w:t>
      </w:r>
      <w:r w:rsidR="00BC15FA" w:rsidRPr="005322CB">
        <w:t xml:space="preserve"> to identify and analyse </w:t>
      </w:r>
      <w:r w:rsidR="00EB5D34">
        <w:t xml:space="preserve">the </w:t>
      </w:r>
      <w:r w:rsidR="00BC15FA" w:rsidRPr="005322CB">
        <w:t xml:space="preserve">latest data on population change and the care population in </w:t>
      </w:r>
      <w:r>
        <w:t>Lewisham</w:t>
      </w:r>
      <w:r w:rsidR="00BC15FA" w:rsidRPr="005322CB">
        <w:t>.</w:t>
      </w:r>
    </w:p>
    <w:p w14:paraId="6D3FDCDA" w14:textId="4618935B" w:rsidR="00BC15FA" w:rsidRDefault="00BC15FA" w:rsidP="00BC15FA">
      <w:pPr>
        <w:pStyle w:val="ListParagraph"/>
        <w:numPr>
          <w:ilvl w:val="0"/>
          <w:numId w:val="8"/>
        </w:numPr>
        <w:contextualSpacing/>
      </w:pPr>
      <w:r w:rsidRPr="005322CB">
        <w:t xml:space="preserve">To inform our understanding of market pressures from a provider perspective, </w:t>
      </w:r>
      <w:r w:rsidR="00375A47">
        <w:t>Lewisham</w:t>
      </w:r>
      <w:r w:rsidRPr="005322CB">
        <w:t xml:space="preserve"> </w:t>
      </w:r>
    </w:p>
    <w:p w14:paraId="3773AE49" w14:textId="02391884" w:rsidR="004C5145" w:rsidRPr="00F378E7" w:rsidRDefault="004C5145" w:rsidP="004C5145">
      <w:pPr>
        <w:pStyle w:val="ListParagraph"/>
        <w:numPr>
          <w:ilvl w:val="0"/>
          <w:numId w:val="8"/>
        </w:numPr>
        <w:contextualSpacing/>
      </w:pPr>
      <w:r w:rsidRPr="00F378E7">
        <w:t xml:space="preserve">Care </w:t>
      </w:r>
      <w:r w:rsidR="00EB5D34">
        <w:t>Home P</w:t>
      </w:r>
      <w:r w:rsidRPr="00F378E7">
        <w:t xml:space="preserve">rovider </w:t>
      </w:r>
      <w:r w:rsidR="00EB5D34">
        <w:t>F</w:t>
      </w:r>
      <w:r w:rsidRPr="00F378E7">
        <w:t>orum</w:t>
      </w:r>
      <w:r w:rsidR="00EB5D34">
        <w:t>s</w:t>
      </w:r>
      <w:r w:rsidRPr="00F378E7">
        <w:t xml:space="preserve">, </w:t>
      </w:r>
      <w:r w:rsidR="00EB5D34">
        <w:t xml:space="preserve">advised and </w:t>
      </w:r>
      <w:r w:rsidRPr="00F378E7">
        <w:t>informed commissioners of the market pressures from the care provider perspective. The  following key cha</w:t>
      </w:r>
      <w:r w:rsidR="00EE6CD6">
        <w:t xml:space="preserve">llenges </w:t>
      </w:r>
      <w:r w:rsidR="00EB5D34">
        <w:t xml:space="preserve">were </w:t>
      </w:r>
      <w:r w:rsidR="00EE6CD6">
        <w:t>highlighted by Care H</w:t>
      </w:r>
      <w:r w:rsidR="00F378E7">
        <w:t xml:space="preserve">ome </w:t>
      </w:r>
      <w:r w:rsidRPr="00F378E7">
        <w:t xml:space="preserve">providers </w:t>
      </w:r>
      <w:r w:rsidR="00EB5D34">
        <w:t xml:space="preserve">as highly influential in </w:t>
      </w:r>
      <w:r w:rsidRPr="00F378E7">
        <w:t>market sustainability</w:t>
      </w:r>
      <w:r w:rsidR="00EB5D34">
        <w:t>:</w:t>
      </w:r>
    </w:p>
    <w:p w14:paraId="6BF1E6E1" w14:textId="2FC11C9C" w:rsidR="004C5145" w:rsidRPr="00F378E7" w:rsidRDefault="004C5145" w:rsidP="00425F5A">
      <w:pPr>
        <w:pStyle w:val="ListParagraph"/>
        <w:numPr>
          <w:ilvl w:val="0"/>
          <w:numId w:val="13"/>
        </w:numPr>
        <w:contextualSpacing/>
      </w:pPr>
      <w:r w:rsidRPr="00F378E7">
        <w:t>Workforces challeng</w:t>
      </w:r>
      <w:r w:rsidR="00425F5A">
        <w:t>es – Recruitment &amp; Retention</w:t>
      </w:r>
      <w:r w:rsidRPr="00F378E7">
        <w:t xml:space="preserve"> </w:t>
      </w:r>
    </w:p>
    <w:p w14:paraId="3A334711" w14:textId="77777777" w:rsidR="004C5145" w:rsidRPr="00F378E7" w:rsidRDefault="004C5145" w:rsidP="00425F5A">
      <w:pPr>
        <w:pStyle w:val="ListParagraph"/>
        <w:numPr>
          <w:ilvl w:val="0"/>
          <w:numId w:val="13"/>
        </w:numPr>
        <w:contextualSpacing/>
      </w:pPr>
      <w:r w:rsidRPr="00F378E7">
        <w:t>Rate of pay.</w:t>
      </w:r>
    </w:p>
    <w:p w14:paraId="4A4ACA75" w14:textId="498F787E" w:rsidR="004C5145" w:rsidRPr="00F378E7" w:rsidRDefault="004C5145" w:rsidP="00425F5A">
      <w:pPr>
        <w:pStyle w:val="ListParagraph"/>
        <w:numPr>
          <w:ilvl w:val="0"/>
          <w:numId w:val="13"/>
        </w:numPr>
        <w:contextualSpacing/>
      </w:pPr>
      <w:r w:rsidRPr="00F378E7">
        <w:t>Inflation</w:t>
      </w:r>
    </w:p>
    <w:p w14:paraId="37D9EC11" w14:textId="46276C9A" w:rsidR="004A4F2E" w:rsidRDefault="00F378E7" w:rsidP="00425F5A">
      <w:pPr>
        <w:pStyle w:val="ListParagraph"/>
        <w:numPr>
          <w:ilvl w:val="0"/>
          <w:numId w:val="13"/>
        </w:numPr>
        <w:contextualSpacing/>
      </w:pPr>
      <w:r>
        <w:t>Utility Cost</w:t>
      </w:r>
    </w:p>
    <w:p w14:paraId="3D213644" w14:textId="2A94BDB0" w:rsidR="008B749F" w:rsidRPr="005322CB" w:rsidRDefault="008B749F" w:rsidP="00425F5A">
      <w:pPr>
        <w:pStyle w:val="ListParagraph"/>
        <w:numPr>
          <w:ilvl w:val="0"/>
          <w:numId w:val="13"/>
        </w:numPr>
        <w:contextualSpacing/>
      </w:pPr>
      <w:r>
        <w:t>Insurance cost</w:t>
      </w:r>
    </w:p>
    <w:p w14:paraId="32E3CF83" w14:textId="77777777" w:rsidR="00425F5A" w:rsidRPr="00425F5A" w:rsidRDefault="00375A47" w:rsidP="00425F5A">
      <w:pPr>
        <w:pStyle w:val="ListParagraph"/>
        <w:numPr>
          <w:ilvl w:val="0"/>
          <w:numId w:val="8"/>
        </w:numPr>
        <w:spacing w:after="0"/>
        <w:contextualSpacing/>
        <w:rPr>
          <w:u w:val="single"/>
        </w:rPr>
      </w:pPr>
      <w:r w:rsidRPr="00425F5A">
        <w:t>Lewisham</w:t>
      </w:r>
      <w:r w:rsidR="00BC15FA" w:rsidRPr="00425F5A">
        <w:t xml:space="preserve">’s analytical approach is outlined in Part Two of this report. </w:t>
      </w:r>
      <w:r w:rsidRPr="00425F5A">
        <w:t>Lewisham</w:t>
      </w:r>
      <w:r w:rsidR="00BC15FA" w:rsidRPr="00425F5A">
        <w:t xml:space="preserve"> commissioners engaged with the South East London sub-region throughout August and September to share feedback on the analytical process. </w:t>
      </w:r>
    </w:p>
    <w:p w14:paraId="5B4D211E" w14:textId="77777777" w:rsidR="00425F5A" w:rsidRDefault="00425F5A" w:rsidP="00425F5A">
      <w:pPr>
        <w:pStyle w:val="ListParagraph"/>
        <w:spacing w:after="0"/>
        <w:contextualSpacing/>
        <w:rPr>
          <w:u w:val="single"/>
        </w:rPr>
      </w:pPr>
    </w:p>
    <w:p w14:paraId="1FC64803" w14:textId="77777777" w:rsidR="00EE6CD6" w:rsidRDefault="00EE6CD6" w:rsidP="00425F5A">
      <w:pPr>
        <w:pStyle w:val="ListParagraph"/>
        <w:spacing w:after="0"/>
        <w:contextualSpacing/>
        <w:rPr>
          <w:u w:val="single"/>
        </w:rPr>
      </w:pPr>
    </w:p>
    <w:p w14:paraId="14C54F18" w14:textId="77777777" w:rsidR="00EE6CD6" w:rsidRDefault="00EE6CD6" w:rsidP="00425F5A">
      <w:pPr>
        <w:pStyle w:val="ListParagraph"/>
        <w:spacing w:after="0"/>
        <w:contextualSpacing/>
        <w:rPr>
          <w:u w:val="single"/>
        </w:rPr>
      </w:pPr>
    </w:p>
    <w:p w14:paraId="70780171" w14:textId="77777777" w:rsidR="00EE6CD6" w:rsidRDefault="00EE6CD6" w:rsidP="00425F5A">
      <w:pPr>
        <w:pStyle w:val="ListParagraph"/>
        <w:spacing w:after="0"/>
        <w:contextualSpacing/>
        <w:rPr>
          <w:u w:val="single"/>
        </w:rPr>
      </w:pPr>
    </w:p>
    <w:p w14:paraId="38FC682C" w14:textId="77777777" w:rsidR="00425F5A" w:rsidRDefault="00425F5A" w:rsidP="00425F5A">
      <w:pPr>
        <w:pStyle w:val="ListParagraph"/>
        <w:spacing w:after="0"/>
        <w:contextualSpacing/>
        <w:rPr>
          <w:u w:val="single"/>
        </w:rPr>
      </w:pPr>
    </w:p>
    <w:p w14:paraId="46352585" w14:textId="77777777" w:rsidR="00425F5A" w:rsidRPr="00425F5A" w:rsidRDefault="00425F5A" w:rsidP="00425F5A">
      <w:pPr>
        <w:pStyle w:val="ListParagraph"/>
        <w:spacing w:after="0"/>
        <w:contextualSpacing/>
        <w:rPr>
          <w:u w:val="single"/>
        </w:rPr>
      </w:pPr>
    </w:p>
    <w:p w14:paraId="4EEAEF68" w14:textId="689C9D58" w:rsidR="00852CB8" w:rsidRDefault="00852CB8" w:rsidP="00425F5A">
      <w:pPr>
        <w:pStyle w:val="ListParagraph"/>
        <w:spacing w:after="0"/>
        <w:contextualSpacing/>
        <w:rPr>
          <w:b/>
          <w:bCs/>
          <w:u w:val="single"/>
        </w:rPr>
      </w:pPr>
      <w:r w:rsidRPr="00823AEE">
        <w:rPr>
          <w:b/>
          <w:bCs/>
          <w:u w:val="single"/>
        </w:rPr>
        <w:t>Part Two: Approach to the cost of care estimates (Annex A, section 3)</w:t>
      </w:r>
    </w:p>
    <w:p w14:paraId="7FED285E" w14:textId="77777777" w:rsidR="00425F5A" w:rsidRPr="00823AEE" w:rsidRDefault="00425F5A" w:rsidP="00425F5A">
      <w:pPr>
        <w:pStyle w:val="ListParagraph"/>
        <w:spacing w:after="0"/>
        <w:contextualSpacing/>
        <w:rPr>
          <w:u w:val="single"/>
        </w:rPr>
      </w:pPr>
    </w:p>
    <w:p w14:paraId="1EA290FE" w14:textId="3DD3C57D" w:rsidR="00043C9D" w:rsidRDefault="00375A47" w:rsidP="00043C9D">
      <w:pPr>
        <w:rPr>
          <w:b/>
          <w:bCs/>
        </w:rPr>
      </w:pPr>
      <w:r>
        <w:t>Lewisham</w:t>
      </w:r>
      <w:r w:rsidR="00043C9D">
        <w:t xml:space="preserve"> engaged extensively with </w:t>
      </w:r>
      <w:r w:rsidR="00EE6CD6">
        <w:t>Care Home</w:t>
      </w:r>
      <w:r w:rsidR="00043C9D">
        <w:t xml:space="preserve"> providers to maximise the rate of response to the exercise. However, the quality of the cost information produced by this exercise is limited to a significant extent by several key risks and issues. These limitations include the following:</w:t>
      </w:r>
    </w:p>
    <w:p w14:paraId="5DA12056" w14:textId="01218B7D" w:rsidR="00043C9D" w:rsidRPr="003F2106" w:rsidRDefault="00710327" w:rsidP="00043C9D">
      <w:pPr>
        <w:pStyle w:val="ListParagraph"/>
        <w:numPr>
          <w:ilvl w:val="0"/>
          <w:numId w:val="9"/>
        </w:numPr>
        <w:suppressAutoHyphens w:val="0"/>
        <w:autoSpaceDN/>
        <w:spacing w:line="259" w:lineRule="auto"/>
        <w:contextualSpacing/>
        <w:textAlignment w:val="auto"/>
        <w:rPr>
          <w:b/>
          <w:bCs/>
        </w:rPr>
      </w:pPr>
      <w:r>
        <w:t>T</w:t>
      </w:r>
      <w:r w:rsidR="00043C9D" w:rsidRPr="003F2106">
        <w:t>he median rate simply selects one value in the middle of the range of prices submitted by providers</w:t>
      </w:r>
      <w:r w:rsidR="00EB5D34">
        <w:t>. T</w:t>
      </w:r>
      <w:r w:rsidR="00043C9D" w:rsidRPr="003F2106">
        <w:t xml:space="preserve">his </w:t>
      </w:r>
      <w:r w:rsidR="00043C9D">
        <w:t>does not guarantee that a median rate will correspond with an</w:t>
      </w:r>
      <w:r w:rsidR="00043C9D" w:rsidRPr="003F2106">
        <w:t xml:space="preserve"> accurate market rate. </w:t>
      </w:r>
      <w:r w:rsidR="00043C9D">
        <w:t>The median calculation is more suitable for large data sets, whereas</w:t>
      </w:r>
      <w:r>
        <w:t xml:space="preserve"> in very small datasets, results </w:t>
      </w:r>
      <w:r w:rsidR="00EB5D34">
        <w:t>are</w:t>
      </w:r>
      <w:r>
        <w:t xml:space="preserve"> very sensitive to small changes in the dataset.</w:t>
      </w:r>
      <w:r w:rsidR="00043C9D">
        <w:t xml:space="preserve"> </w:t>
      </w:r>
    </w:p>
    <w:p w14:paraId="096268B3" w14:textId="7EF0FD64" w:rsidR="00043C9D" w:rsidRPr="00B0332B" w:rsidRDefault="00EC4FFB" w:rsidP="00043C9D">
      <w:pPr>
        <w:pStyle w:val="ListParagraph"/>
        <w:numPr>
          <w:ilvl w:val="0"/>
          <w:numId w:val="9"/>
        </w:numPr>
        <w:suppressAutoHyphens w:val="0"/>
        <w:autoSpaceDN/>
        <w:spacing w:line="259" w:lineRule="auto"/>
        <w:contextualSpacing/>
        <w:textAlignment w:val="auto"/>
        <w:rPr>
          <w:b/>
          <w:bCs/>
        </w:rPr>
      </w:pPr>
      <w:r>
        <w:t xml:space="preserve">Lack of consistency in the calculation of the return on capital submitted by </w:t>
      </w:r>
      <w:r w:rsidR="00043C9D">
        <w:t>Providers</w:t>
      </w:r>
      <w:r>
        <w:t xml:space="preserve">. </w:t>
      </w:r>
      <w:r w:rsidR="00043C9D">
        <w:t xml:space="preserve">It is advisable to uphold a degree of consistency </w:t>
      </w:r>
      <w:r w:rsidR="00EB5D34">
        <w:t xml:space="preserve">in the </w:t>
      </w:r>
      <w:r w:rsidR="00043C9D">
        <w:t>moderation of these cost lines to ensure that the median rates identified are accurate and sustainable.</w:t>
      </w:r>
    </w:p>
    <w:p w14:paraId="1F574C42" w14:textId="1C92D70F" w:rsidR="00043C9D" w:rsidRDefault="00EC4FFB" w:rsidP="00EC4FFB">
      <w:pPr>
        <w:pStyle w:val="ListParagraph"/>
        <w:numPr>
          <w:ilvl w:val="0"/>
          <w:numId w:val="9"/>
        </w:numPr>
        <w:suppressAutoHyphens w:val="0"/>
        <w:autoSpaceDN/>
        <w:spacing w:line="259" w:lineRule="auto"/>
        <w:contextualSpacing/>
        <w:textAlignment w:val="auto"/>
      </w:pPr>
      <w:r>
        <w:t xml:space="preserve">In </w:t>
      </w:r>
      <w:r w:rsidRPr="00EC4FFB">
        <w:t>the absence of clear guidance from the Department on appropriate</w:t>
      </w:r>
      <w:r>
        <w:t xml:space="preserve"> benchmarks for cost items, and </w:t>
      </w:r>
      <w:r w:rsidRPr="00EC4FFB">
        <w:t xml:space="preserve">the short timeframe allocated to local authorities to complete the exercise, </w:t>
      </w:r>
      <w:r>
        <w:t xml:space="preserve">Providers </w:t>
      </w:r>
      <w:r w:rsidRPr="007E026A">
        <w:t xml:space="preserve">submitted </w:t>
      </w:r>
      <w:r>
        <w:t xml:space="preserve">inflationary rates and </w:t>
      </w:r>
      <w:r w:rsidRPr="007E026A">
        <w:t>costs that varied significantly across</w:t>
      </w:r>
      <w:r>
        <w:t xml:space="preserve"> all </w:t>
      </w:r>
      <w:r w:rsidRPr="007E026A">
        <w:t>cost lines</w:t>
      </w:r>
      <w:r w:rsidR="00EB5D34">
        <w:t>, i</w:t>
      </w:r>
      <w:r w:rsidR="00553942" w:rsidRPr="007E026A">
        <w:t>ncluding</w:t>
      </w:r>
      <w:r w:rsidRPr="007E026A">
        <w:t xml:space="preserve"> </w:t>
      </w:r>
      <w:r>
        <w:t xml:space="preserve">Nursing and Carer staff costs, </w:t>
      </w:r>
      <w:r w:rsidRPr="007E026A">
        <w:t>Emp</w:t>
      </w:r>
      <w:r w:rsidR="00553942">
        <w:t xml:space="preserve">loyer’s National Insurance </w:t>
      </w:r>
      <w:r w:rsidR="00553942" w:rsidRPr="007E026A">
        <w:t>contributions</w:t>
      </w:r>
      <w:r w:rsidR="00EB5D34">
        <w:t xml:space="preserve"> (which changed nationally during the course of the exercise)</w:t>
      </w:r>
      <w:r w:rsidRPr="007E026A">
        <w:t>, energy costs,</w:t>
      </w:r>
      <w:r>
        <w:t xml:space="preserve"> </w:t>
      </w:r>
      <w:r w:rsidR="00EB5D34">
        <w:t>t</w:t>
      </w:r>
      <w:r>
        <w:t xml:space="preserve">raining and </w:t>
      </w:r>
      <w:r w:rsidR="00EB5D34">
        <w:t>i</w:t>
      </w:r>
      <w:r>
        <w:t>nsurance</w:t>
      </w:r>
      <w:r w:rsidR="00EB5D34">
        <w:t xml:space="preserve"> costs</w:t>
      </w:r>
      <w:r>
        <w:t>. These inconsistencies present concerns regarding the accuracy</w:t>
      </w:r>
      <w:r w:rsidR="00700143">
        <w:t xml:space="preserve"> (validity?)</w:t>
      </w:r>
      <w:r>
        <w:t xml:space="preserve"> of the data. </w:t>
      </w:r>
      <w:r w:rsidRPr="00EC4FFB">
        <w:t>Lewisham judged that it was not feasible to amend the figures to a single value that could be clearly evidenced</w:t>
      </w:r>
      <w:r w:rsidR="00EE6CD6">
        <w:t xml:space="preserve"> within the set deadline</w:t>
      </w:r>
      <w:r>
        <w:t>.</w:t>
      </w:r>
      <w:r w:rsidR="00043C9D">
        <w:t xml:space="preserve"> Therefore, </w:t>
      </w:r>
      <w:r w:rsidR="00375A47">
        <w:t>Lewisham</w:t>
      </w:r>
      <w:r w:rsidR="00043C9D">
        <w:t xml:space="preserve"> did not amend</w:t>
      </w:r>
      <w:r w:rsidR="00EE6CD6">
        <w:t xml:space="preserve"> all</w:t>
      </w:r>
      <w:r w:rsidR="00043C9D">
        <w:t xml:space="preserve"> these cost lines, despite concerns about the accuracy of the information submitted.</w:t>
      </w:r>
    </w:p>
    <w:p w14:paraId="6F7FA05A" w14:textId="0B3CBB4E" w:rsidR="009D0BD2" w:rsidRDefault="00043C9D" w:rsidP="00CE5022">
      <w:pPr>
        <w:pStyle w:val="ListParagraph"/>
        <w:numPr>
          <w:ilvl w:val="0"/>
          <w:numId w:val="9"/>
        </w:numPr>
        <w:suppressAutoHyphens w:val="0"/>
        <w:autoSpaceDN/>
        <w:spacing w:line="259" w:lineRule="auto"/>
        <w:contextualSpacing/>
        <w:textAlignment w:val="auto"/>
      </w:pPr>
      <w:r>
        <w:t xml:space="preserve">There are </w:t>
      </w:r>
      <w:r w:rsidR="00553942">
        <w:t>other events</w:t>
      </w:r>
      <w:r>
        <w:t xml:space="preserve"> that will significantly impact the </w:t>
      </w:r>
      <w:r w:rsidR="003C3FD7">
        <w:t xml:space="preserve">calculation of the </w:t>
      </w:r>
      <w:r>
        <w:t>costs of care. S</w:t>
      </w:r>
      <w:r w:rsidR="009D0BD2">
        <w:t>everal new developments have been announced post the deadline for Provider submission,</w:t>
      </w:r>
    </w:p>
    <w:p w14:paraId="73154069" w14:textId="0E379D93" w:rsidR="00043C9D" w:rsidRDefault="00043C9D" w:rsidP="009D0BD2">
      <w:pPr>
        <w:pStyle w:val="ListParagraph"/>
        <w:suppressAutoHyphens w:val="0"/>
        <w:autoSpaceDN/>
        <w:spacing w:line="259" w:lineRule="auto"/>
        <w:contextualSpacing/>
        <w:textAlignment w:val="auto"/>
      </w:pPr>
      <w:r>
        <w:t xml:space="preserve"> These include:</w:t>
      </w:r>
    </w:p>
    <w:p w14:paraId="11550471" w14:textId="4DD574B8" w:rsidR="00043C9D" w:rsidRDefault="00043C9D" w:rsidP="009D0BD2">
      <w:pPr>
        <w:pStyle w:val="ListParagraph"/>
        <w:numPr>
          <w:ilvl w:val="1"/>
          <w:numId w:val="14"/>
        </w:numPr>
        <w:suppressAutoHyphens w:val="0"/>
        <w:autoSpaceDN/>
        <w:spacing w:line="259" w:lineRule="auto"/>
        <w:contextualSpacing/>
        <w:textAlignment w:val="auto"/>
      </w:pPr>
      <w:r>
        <w:t>Energy costs: on 8</w:t>
      </w:r>
      <w:r w:rsidRPr="203F2601">
        <w:t xml:space="preserve"> September 2022, central government announced a</w:t>
      </w:r>
      <w:r>
        <w:t xml:space="preserve"> policy to provide financial support for households (“</w:t>
      </w:r>
      <w:r w:rsidRPr="203F2601">
        <w:t xml:space="preserve">energy price </w:t>
      </w:r>
      <w:r>
        <w:t>guarantee”)</w:t>
      </w:r>
      <w:r w:rsidRPr="203F2601">
        <w:t xml:space="preserve"> </w:t>
      </w:r>
      <w:r>
        <w:t xml:space="preserve">alongside a new 6-month scheme for businesses and other non-domestic energy users. </w:t>
      </w:r>
    </w:p>
    <w:p w14:paraId="0598261E" w14:textId="476F15FA" w:rsidR="00043C9D" w:rsidRDefault="00043C9D" w:rsidP="009D0BD2">
      <w:pPr>
        <w:pStyle w:val="ListParagraph"/>
        <w:numPr>
          <w:ilvl w:val="1"/>
          <w:numId w:val="14"/>
        </w:numPr>
        <w:suppressAutoHyphens w:val="0"/>
        <w:autoSpaceDN/>
        <w:spacing w:line="259" w:lineRule="auto"/>
        <w:contextualSpacing/>
        <w:textAlignment w:val="auto"/>
      </w:pPr>
      <w:r>
        <w:t xml:space="preserve">Inflation: </w:t>
      </w:r>
      <w:r w:rsidR="00700143">
        <w:t xml:space="preserve">the </w:t>
      </w:r>
      <w:r>
        <w:t xml:space="preserve">rate of inflation is unpredictable and continuously changing. The inflation rate for </w:t>
      </w:r>
      <w:r w:rsidRPr="001A569D">
        <w:t>2022/23</w:t>
      </w:r>
      <w:r>
        <w:t xml:space="preserve"> is not a reliable benchmark for determining</w:t>
      </w:r>
      <w:r w:rsidR="009D0BD2">
        <w:t xml:space="preserve"> fees in future financial years.</w:t>
      </w:r>
      <w:r w:rsidRPr="007E026A">
        <w:t xml:space="preserve"> </w:t>
      </w:r>
    </w:p>
    <w:p w14:paraId="1E9BF88B" w14:textId="62461F8C" w:rsidR="009D0BD2" w:rsidRDefault="00043C9D" w:rsidP="00D70ECA">
      <w:pPr>
        <w:pStyle w:val="ListParagraph"/>
        <w:numPr>
          <w:ilvl w:val="1"/>
          <w:numId w:val="14"/>
        </w:numPr>
        <w:suppressAutoHyphens w:val="0"/>
        <w:autoSpaceDN/>
        <w:spacing w:line="259" w:lineRule="auto"/>
        <w:contextualSpacing/>
        <w:textAlignment w:val="auto"/>
      </w:pPr>
      <w:r w:rsidRPr="009D0BD2">
        <w:t>Living Wage: on 22 September, the Living Wage Found</w:t>
      </w:r>
      <w:r w:rsidR="003F3388" w:rsidRPr="009D0BD2">
        <w:t xml:space="preserve">ation announced an uplifted National Minimum </w:t>
      </w:r>
      <w:r w:rsidR="003C3FD7" w:rsidRPr="009D0BD2">
        <w:t xml:space="preserve">Wage </w:t>
      </w:r>
      <w:r w:rsidR="003C3FD7">
        <w:t>and</w:t>
      </w:r>
      <w:r w:rsidR="009D0BD2">
        <w:t xml:space="preserve"> London Living Wage </w:t>
      </w:r>
      <w:r w:rsidRPr="009D0BD2">
        <w:t>rate</w:t>
      </w:r>
      <w:r w:rsidR="009D0BD2">
        <w:t>s</w:t>
      </w:r>
      <w:r w:rsidRPr="009D0BD2">
        <w:t xml:space="preserve"> for t</w:t>
      </w:r>
      <w:r w:rsidR="003F3388" w:rsidRPr="009D0BD2">
        <w:t>he 202</w:t>
      </w:r>
      <w:r w:rsidR="009D0BD2">
        <w:t>3</w:t>
      </w:r>
      <w:r w:rsidR="003F3388" w:rsidRPr="009D0BD2">
        <w:t>/2</w:t>
      </w:r>
      <w:r w:rsidR="009D0BD2">
        <w:t>4.</w:t>
      </w:r>
      <w:r w:rsidR="003F3388" w:rsidRPr="009D0BD2">
        <w:t xml:space="preserve"> </w:t>
      </w:r>
      <w:r w:rsidR="00BE4EEF" w:rsidRPr="009D0BD2">
        <w:t xml:space="preserve">  </w:t>
      </w:r>
    </w:p>
    <w:p w14:paraId="148BF0EA" w14:textId="6967A511" w:rsidR="003C3FD7" w:rsidRDefault="003C3FD7" w:rsidP="003C3FD7">
      <w:pPr>
        <w:suppressAutoHyphens w:val="0"/>
        <w:autoSpaceDN/>
        <w:spacing w:line="259" w:lineRule="auto"/>
        <w:ind w:left="1080"/>
        <w:contextualSpacing/>
        <w:textAlignment w:val="auto"/>
      </w:pPr>
      <w:r>
        <w:t>Due to these limitation</w:t>
      </w:r>
      <w:r w:rsidR="00700143">
        <w:t>s</w:t>
      </w:r>
      <w:r>
        <w:t xml:space="preserve"> of the mathematical approach and guidelines</w:t>
      </w:r>
      <w:r w:rsidR="00700143">
        <w:t>,</w:t>
      </w:r>
      <w:r>
        <w:t xml:space="preserve"> Lewisham adopted a collaborative working approach with Care Providers </w:t>
      </w:r>
      <w:r>
        <w:lastRenderedPageBreak/>
        <w:t>to develop a local Cost of Care rate</w:t>
      </w:r>
      <w:r w:rsidR="00700143">
        <w:t>, d</w:t>
      </w:r>
      <w:r>
        <w:t>iscussing and agreeing</w:t>
      </w:r>
      <w:r w:rsidR="00700143">
        <w:t xml:space="preserve"> for most part</w:t>
      </w:r>
      <w:r>
        <w:t xml:space="preserve"> all values for cost items. </w:t>
      </w:r>
    </w:p>
    <w:p w14:paraId="0DCEF122" w14:textId="20562870" w:rsidR="00043C9D" w:rsidRDefault="00375A47" w:rsidP="003C3FD7">
      <w:pPr>
        <w:suppressAutoHyphens w:val="0"/>
        <w:autoSpaceDN/>
        <w:spacing w:line="259" w:lineRule="auto"/>
        <w:ind w:left="1080"/>
        <w:contextualSpacing/>
        <w:textAlignment w:val="auto"/>
      </w:pPr>
      <w:r>
        <w:t>Lewisham</w:t>
      </w:r>
      <w:r w:rsidR="00043C9D">
        <w:t xml:space="preserve"> proceeded to analyse cost lines and applied a consistent approach to Return on Operations, with reference to evidence</w:t>
      </w:r>
      <w:r w:rsidR="004F0B2B">
        <w:t>-</w:t>
      </w:r>
      <w:r w:rsidR="00A324DE">
        <w:t xml:space="preserve">based industry guidance and Return on </w:t>
      </w:r>
      <w:r w:rsidR="00700143">
        <w:t>C</w:t>
      </w:r>
      <w:r w:rsidR="00A324DE">
        <w:t xml:space="preserve">apital based on selected scenario from </w:t>
      </w:r>
      <w:r w:rsidR="00700143">
        <w:t>the iESE</w:t>
      </w:r>
      <w:r w:rsidR="00A324DE">
        <w:t xml:space="preserve">analysis. </w:t>
      </w:r>
    </w:p>
    <w:p w14:paraId="6B978236" w14:textId="77777777" w:rsidR="00D56D51" w:rsidRDefault="00D56D51" w:rsidP="003C3FD7">
      <w:pPr>
        <w:suppressAutoHyphens w:val="0"/>
        <w:autoSpaceDN/>
        <w:spacing w:line="259" w:lineRule="auto"/>
        <w:ind w:left="1080"/>
        <w:contextualSpacing/>
        <w:textAlignment w:val="auto"/>
      </w:pPr>
    </w:p>
    <w:p w14:paraId="57054E69" w14:textId="51E6FEAB" w:rsidR="00043C9D" w:rsidRDefault="00043C9D" w:rsidP="00043C9D">
      <w:pPr>
        <w:rPr>
          <w:b/>
          <w:bCs/>
        </w:rPr>
      </w:pPr>
      <w:r>
        <w:rPr>
          <w:b/>
          <w:bCs/>
        </w:rPr>
        <w:t xml:space="preserve">Approach to the analysis of the </w:t>
      </w:r>
      <w:r w:rsidR="006F0DB2">
        <w:rPr>
          <w:b/>
          <w:bCs/>
        </w:rPr>
        <w:t>older people’s</w:t>
      </w:r>
      <w:r>
        <w:rPr>
          <w:b/>
          <w:bCs/>
        </w:rPr>
        <w:t xml:space="preserve"> care</w:t>
      </w:r>
      <w:r w:rsidR="006F0DB2">
        <w:rPr>
          <w:b/>
          <w:bCs/>
        </w:rPr>
        <w:t xml:space="preserve"> home</w:t>
      </w:r>
      <w:r>
        <w:rPr>
          <w:b/>
          <w:bCs/>
        </w:rPr>
        <w:t xml:space="preserve"> </w:t>
      </w:r>
      <w:r w:rsidR="00646B9E">
        <w:rPr>
          <w:b/>
          <w:bCs/>
        </w:rPr>
        <w:t>data</w:t>
      </w:r>
      <w:r>
        <w:rPr>
          <w:b/>
          <w:bCs/>
        </w:rPr>
        <w:t xml:space="preserve"> submissions</w:t>
      </w:r>
    </w:p>
    <w:p w14:paraId="53D0DD87" w14:textId="577F8E01" w:rsidR="003072E5" w:rsidRDefault="00043C9D" w:rsidP="2B66D59B">
      <w:pPr>
        <w:pStyle w:val="ListParagraph"/>
        <w:numPr>
          <w:ilvl w:val="0"/>
          <w:numId w:val="5"/>
        </w:numPr>
        <w:rPr>
          <w:rFonts w:eastAsia="Arial"/>
        </w:rPr>
      </w:pPr>
      <w:r>
        <w:rPr>
          <w:rFonts w:eastAsia="Arial"/>
        </w:rPr>
        <w:t xml:space="preserve">As above, the </w:t>
      </w:r>
      <w:r w:rsidR="006F0DB2">
        <w:rPr>
          <w:rFonts w:eastAsia="Arial"/>
        </w:rPr>
        <w:t>analysis of care home toolkit data highlighted a number of inconsistencies</w:t>
      </w:r>
      <w:r w:rsidR="00896C5F">
        <w:rPr>
          <w:rFonts w:eastAsia="Arial"/>
        </w:rPr>
        <w:t xml:space="preserve"> -</w:t>
      </w:r>
      <w:r w:rsidR="006F0DB2">
        <w:rPr>
          <w:rFonts w:eastAsia="Arial"/>
        </w:rPr>
        <w:t xml:space="preserve"> where</w:t>
      </w:r>
      <w:r w:rsidR="00896C5F">
        <w:rPr>
          <w:rFonts w:eastAsia="Arial"/>
        </w:rPr>
        <w:t>by</w:t>
      </w:r>
      <w:r w:rsidR="006F0DB2">
        <w:rPr>
          <w:rFonts w:eastAsia="Arial"/>
        </w:rPr>
        <w:t xml:space="preserve"> provider costs varied</w:t>
      </w:r>
      <w:r w:rsidR="00896C5F">
        <w:rPr>
          <w:rFonts w:eastAsia="Arial"/>
        </w:rPr>
        <w:t>;</w:t>
      </w:r>
      <w:r w:rsidR="006F0DB2">
        <w:rPr>
          <w:rFonts w:eastAsia="Arial"/>
        </w:rPr>
        <w:t xml:space="preserve"> were significantly higher than anticipated</w:t>
      </w:r>
      <w:r w:rsidR="006A33E5">
        <w:rPr>
          <w:rFonts w:eastAsia="Arial"/>
        </w:rPr>
        <w:t>;</w:t>
      </w:r>
      <w:r w:rsidR="00C348C7">
        <w:rPr>
          <w:rFonts w:eastAsia="Arial"/>
        </w:rPr>
        <w:t xml:space="preserve"> or </w:t>
      </w:r>
      <w:r w:rsidR="00896C5F">
        <w:rPr>
          <w:rFonts w:eastAsia="Arial"/>
        </w:rPr>
        <w:t>cost lines were</w:t>
      </w:r>
      <w:r w:rsidR="00C348C7">
        <w:rPr>
          <w:rFonts w:eastAsia="Arial"/>
        </w:rPr>
        <w:t xml:space="preserve"> not </w:t>
      </w:r>
      <w:r w:rsidR="00896C5F">
        <w:rPr>
          <w:rFonts w:eastAsia="Arial"/>
        </w:rPr>
        <w:t>completed</w:t>
      </w:r>
      <w:r w:rsidR="006A33E5">
        <w:rPr>
          <w:rFonts w:eastAsia="Arial"/>
        </w:rPr>
        <w:t xml:space="preserve"> in the submissions</w:t>
      </w:r>
      <w:r w:rsidR="006F0DB2">
        <w:rPr>
          <w:rFonts w:eastAsia="Arial"/>
        </w:rPr>
        <w:t xml:space="preserve">. For example, </w:t>
      </w:r>
      <w:r w:rsidR="00504481">
        <w:rPr>
          <w:rFonts w:eastAsia="Arial"/>
        </w:rPr>
        <w:t xml:space="preserve">some provider </w:t>
      </w:r>
      <w:r w:rsidR="00CD7D4D">
        <w:rPr>
          <w:rFonts w:eastAsia="Arial"/>
        </w:rPr>
        <w:t>staffing costs included</w:t>
      </w:r>
      <w:r w:rsidR="00D32A55">
        <w:rPr>
          <w:rFonts w:eastAsia="Arial"/>
        </w:rPr>
        <w:t xml:space="preserve"> </w:t>
      </w:r>
      <w:r w:rsidR="00504481">
        <w:rPr>
          <w:rFonts w:eastAsia="Arial"/>
        </w:rPr>
        <w:t xml:space="preserve">enhanced </w:t>
      </w:r>
      <w:r w:rsidR="00D32A55">
        <w:rPr>
          <w:rFonts w:eastAsia="Arial"/>
        </w:rPr>
        <w:t>elem</w:t>
      </w:r>
      <w:r w:rsidR="00AE3833">
        <w:rPr>
          <w:rFonts w:eastAsia="Arial"/>
        </w:rPr>
        <w:t xml:space="preserve">ents for </w:t>
      </w:r>
      <w:r w:rsidR="006A15D3">
        <w:rPr>
          <w:rFonts w:eastAsia="Arial"/>
        </w:rPr>
        <w:t xml:space="preserve">NHS </w:t>
      </w:r>
      <w:r w:rsidR="006A33E5">
        <w:rPr>
          <w:rFonts w:eastAsia="Arial"/>
        </w:rPr>
        <w:t>C</w:t>
      </w:r>
      <w:r w:rsidR="00246174">
        <w:rPr>
          <w:rFonts w:eastAsia="Arial"/>
        </w:rPr>
        <w:t xml:space="preserve">ontinuing </w:t>
      </w:r>
      <w:r w:rsidR="006A33E5">
        <w:rPr>
          <w:rFonts w:eastAsia="Arial"/>
        </w:rPr>
        <w:t>H</w:t>
      </w:r>
      <w:r w:rsidR="00246174">
        <w:rPr>
          <w:rFonts w:eastAsia="Arial"/>
        </w:rPr>
        <w:t>ealthcare</w:t>
      </w:r>
      <w:r w:rsidR="00504481">
        <w:rPr>
          <w:rFonts w:eastAsia="Arial"/>
        </w:rPr>
        <w:t xml:space="preserve"> </w:t>
      </w:r>
      <w:r w:rsidR="00290062">
        <w:rPr>
          <w:rFonts w:eastAsia="Arial"/>
        </w:rPr>
        <w:t>and</w:t>
      </w:r>
      <w:r w:rsidR="00504481">
        <w:rPr>
          <w:rFonts w:eastAsia="Arial"/>
        </w:rPr>
        <w:t xml:space="preserve"> other specialist </w:t>
      </w:r>
      <w:r w:rsidR="00700143">
        <w:rPr>
          <w:rFonts w:eastAsia="Arial"/>
        </w:rPr>
        <w:t xml:space="preserve">(clinical/ therapy?) </w:t>
      </w:r>
      <w:r w:rsidR="00504481">
        <w:rPr>
          <w:rFonts w:eastAsia="Arial"/>
        </w:rPr>
        <w:t>services</w:t>
      </w:r>
      <w:r w:rsidR="006A33E5">
        <w:rPr>
          <w:rFonts w:eastAsia="Arial"/>
        </w:rPr>
        <w:t>,</w:t>
      </w:r>
      <w:r w:rsidR="00422F8C">
        <w:rPr>
          <w:rFonts w:eastAsia="Arial"/>
        </w:rPr>
        <w:t xml:space="preserve"> </w:t>
      </w:r>
      <w:r w:rsidR="006A33E5">
        <w:rPr>
          <w:rFonts w:eastAsia="Arial"/>
        </w:rPr>
        <w:t xml:space="preserve">meaning that </w:t>
      </w:r>
      <w:r w:rsidR="00422F8C">
        <w:rPr>
          <w:rFonts w:eastAsia="Arial"/>
        </w:rPr>
        <w:t xml:space="preserve">the </w:t>
      </w:r>
      <w:r w:rsidR="006A33E5">
        <w:rPr>
          <w:rFonts w:eastAsia="Arial"/>
        </w:rPr>
        <w:t>median</w:t>
      </w:r>
      <w:r w:rsidR="00422F8C">
        <w:rPr>
          <w:rFonts w:eastAsia="Arial"/>
        </w:rPr>
        <w:t xml:space="preserve"> </w:t>
      </w:r>
      <w:r w:rsidR="008D770C">
        <w:rPr>
          <w:rFonts w:eastAsia="Arial"/>
        </w:rPr>
        <w:t xml:space="preserve">rate </w:t>
      </w:r>
      <w:r w:rsidR="006A33E5">
        <w:rPr>
          <w:rFonts w:eastAsia="Arial"/>
        </w:rPr>
        <w:t xml:space="preserve">calculation </w:t>
      </w:r>
      <w:r w:rsidR="006A15D3">
        <w:rPr>
          <w:rFonts w:eastAsia="Arial"/>
        </w:rPr>
        <w:t xml:space="preserve">included higher than </w:t>
      </w:r>
      <w:r w:rsidR="00422F8C">
        <w:rPr>
          <w:rFonts w:eastAsia="Arial"/>
        </w:rPr>
        <w:t xml:space="preserve">anticipated </w:t>
      </w:r>
      <w:r w:rsidR="006A15D3">
        <w:rPr>
          <w:rFonts w:eastAsia="Arial"/>
        </w:rPr>
        <w:t xml:space="preserve">costs </w:t>
      </w:r>
      <w:r w:rsidR="00A03977">
        <w:rPr>
          <w:rFonts w:eastAsia="Arial"/>
        </w:rPr>
        <w:t>for</w:t>
      </w:r>
      <w:r w:rsidR="00351525">
        <w:rPr>
          <w:rFonts w:eastAsia="Arial"/>
        </w:rPr>
        <w:t xml:space="preserve"> Nursing care staff</w:t>
      </w:r>
      <w:r w:rsidR="00154449">
        <w:rPr>
          <w:rFonts w:eastAsia="Arial"/>
        </w:rPr>
        <w:t>. In addition</w:t>
      </w:r>
      <w:r w:rsidR="00A03977">
        <w:rPr>
          <w:rFonts w:eastAsia="Arial"/>
        </w:rPr>
        <w:t>,</w:t>
      </w:r>
      <w:r w:rsidR="00154449">
        <w:rPr>
          <w:rFonts w:eastAsia="Arial"/>
        </w:rPr>
        <w:t xml:space="preserve"> </w:t>
      </w:r>
      <w:r w:rsidR="00A03977">
        <w:rPr>
          <w:rFonts w:eastAsia="Arial"/>
        </w:rPr>
        <w:t>some of the provider returns included</w:t>
      </w:r>
      <w:r w:rsidR="00154449">
        <w:rPr>
          <w:rFonts w:eastAsia="Arial"/>
        </w:rPr>
        <w:t xml:space="preserve"> </w:t>
      </w:r>
      <w:r w:rsidR="0081497E">
        <w:rPr>
          <w:rFonts w:eastAsia="Arial"/>
        </w:rPr>
        <w:t xml:space="preserve">inconsistent </w:t>
      </w:r>
      <w:r w:rsidR="00154449">
        <w:rPr>
          <w:rFonts w:eastAsia="Arial"/>
        </w:rPr>
        <w:t xml:space="preserve">inflationary rates </w:t>
      </w:r>
      <w:r w:rsidR="00A03977">
        <w:rPr>
          <w:rFonts w:eastAsia="Arial"/>
        </w:rPr>
        <w:t>(above</w:t>
      </w:r>
      <w:r w:rsidR="0081497E">
        <w:rPr>
          <w:rFonts w:eastAsia="Arial"/>
        </w:rPr>
        <w:t xml:space="preserve"> published </w:t>
      </w:r>
      <w:r w:rsidR="00771768">
        <w:rPr>
          <w:rFonts w:eastAsia="Arial"/>
        </w:rPr>
        <w:t>in</w:t>
      </w:r>
      <w:r w:rsidR="00702D6F">
        <w:rPr>
          <w:rFonts w:eastAsia="Arial"/>
        </w:rPr>
        <w:t>dices</w:t>
      </w:r>
      <w:r w:rsidR="00A03977">
        <w:rPr>
          <w:rFonts w:eastAsia="Arial"/>
        </w:rPr>
        <w:t>)</w:t>
      </w:r>
      <w:r w:rsidR="00702D6F">
        <w:rPr>
          <w:rFonts w:eastAsia="Arial"/>
        </w:rPr>
        <w:t xml:space="preserve"> </w:t>
      </w:r>
      <w:r w:rsidR="00A03977">
        <w:rPr>
          <w:rFonts w:eastAsia="Arial"/>
        </w:rPr>
        <w:t>that were applied</w:t>
      </w:r>
      <w:r w:rsidR="00913DA2">
        <w:rPr>
          <w:rFonts w:eastAsia="Arial"/>
        </w:rPr>
        <w:t xml:space="preserve"> to cost lines </w:t>
      </w:r>
      <w:r w:rsidR="00A03977">
        <w:rPr>
          <w:rFonts w:eastAsia="Arial"/>
        </w:rPr>
        <w:t>without consistency.</w:t>
      </w:r>
    </w:p>
    <w:p w14:paraId="4D3202E6" w14:textId="4337C573" w:rsidR="00132600" w:rsidRDefault="00A62CD8" w:rsidP="2B66D59B">
      <w:pPr>
        <w:pStyle w:val="ListParagraph"/>
        <w:numPr>
          <w:ilvl w:val="0"/>
          <w:numId w:val="5"/>
        </w:numPr>
        <w:rPr>
          <w:rFonts w:eastAsia="Arial"/>
        </w:rPr>
      </w:pPr>
      <w:r>
        <w:rPr>
          <w:rFonts w:eastAsia="Arial"/>
        </w:rPr>
        <w:t xml:space="preserve">Inconsistencies such as these </w:t>
      </w:r>
      <w:r w:rsidR="00FC6FAB">
        <w:rPr>
          <w:rFonts w:eastAsia="Arial"/>
        </w:rPr>
        <w:t>bring</w:t>
      </w:r>
      <w:r>
        <w:rPr>
          <w:rFonts w:eastAsia="Arial"/>
        </w:rPr>
        <w:t xml:space="preserve"> into question</w:t>
      </w:r>
      <w:r w:rsidR="00A03977">
        <w:rPr>
          <w:rFonts w:eastAsia="Arial"/>
        </w:rPr>
        <w:t xml:space="preserve"> the extent to which the </w:t>
      </w:r>
      <w:r w:rsidR="00AB6F2D">
        <w:rPr>
          <w:rFonts w:eastAsia="Arial"/>
        </w:rPr>
        <w:t>provider submission</w:t>
      </w:r>
      <w:r w:rsidR="00612019">
        <w:rPr>
          <w:rFonts w:eastAsia="Arial"/>
        </w:rPr>
        <w:t xml:space="preserve"> data can be considered a reliable reflection of market costs</w:t>
      </w:r>
      <w:r w:rsidR="00132600">
        <w:rPr>
          <w:rFonts w:eastAsia="Arial"/>
        </w:rPr>
        <w:t>. This is</w:t>
      </w:r>
      <w:r w:rsidR="0012279A">
        <w:rPr>
          <w:rFonts w:eastAsia="Arial"/>
        </w:rPr>
        <w:t xml:space="preserve"> particularly</w:t>
      </w:r>
      <w:r w:rsidR="00132600">
        <w:rPr>
          <w:rFonts w:eastAsia="Arial"/>
        </w:rPr>
        <w:t xml:space="preserve"> challenging when</w:t>
      </w:r>
      <w:r w:rsidR="0012279A">
        <w:rPr>
          <w:rFonts w:eastAsia="Arial"/>
        </w:rPr>
        <w:t xml:space="preserve"> recognising that the </w:t>
      </w:r>
      <w:r w:rsidR="00132600">
        <w:rPr>
          <w:rFonts w:eastAsia="Arial"/>
        </w:rPr>
        <w:t xml:space="preserve">current </w:t>
      </w:r>
      <w:r w:rsidR="0012279A">
        <w:rPr>
          <w:rFonts w:eastAsia="Arial"/>
        </w:rPr>
        <w:t xml:space="preserve">forecast for inflation is continuously changing at </w:t>
      </w:r>
      <w:r w:rsidR="001276A6">
        <w:rPr>
          <w:rFonts w:eastAsia="Arial"/>
        </w:rPr>
        <w:t>the</w:t>
      </w:r>
      <w:r w:rsidR="0012279A">
        <w:rPr>
          <w:rFonts w:eastAsia="Arial"/>
        </w:rPr>
        <w:t xml:space="preserve"> time</w:t>
      </w:r>
      <w:r w:rsidR="001276A6">
        <w:rPr>
          <w:rFonts w:eastAsia="Arial"/>
        </w:rPr>
        <w:t xml:space="preserve"> that </w:t>
      </w:r>
      <w:r w:rsidR="0012279A">
        <w:rPr>
          <w:rFonts w:eastAsia="Arial"/>
        </w:rPr>
        <w:t xml:space="preserve">this </w:t>
      </w:r>
      <w:r w:rsidR="001276A6">
        <w:rPr>
          <w:rFonts w:eastAsia="Arial"/>
        </w:rPr>
        <w:t>exercise is being conducted</w:t>
      </w:r>
      <w:r w:rsidR="00295EFC">
        <w:rPr>
          <w:rFonts w:eastAsia="Arial"/>
        </w:rPr>
        <w:t xml:space="preserve"> and that</w:t>
      </w:r>
      <w:r w:rsidR="00132600">
        <w:rPr>
          <w:rFonts w:eastAsia="Arial"/>
        </w:rPr>
        <w:t xml:space="preserve"> exceptional levels of inflation in this financial year are unlikely to be representative of future years of service </w:t>
      </w:r>
      <w:r w:rsidR="00D541F2">
        <w:rPr>
          <w:rFonts w:eastAsia="Arial"/>
        </w:rPr>
        <w:t>provision</w:t>
      </w:r>
      <w:r w:rsidR="00AB6F2D">
        <w:rPr>
          <w:rFonts w:eastAsia="Arial"/>
        </w:rPr>
        <w:t xml:space="preserve">. </w:t>
      </w:r>
    </w:p>
    <w:p w14:paraId="3552BCAD" w14:textId="132F1584" w:rsidR="00ED4BC8" w:rsidRDefault="00ED4BC8" w:rsidP="00ED4BC8">
      <w:pPr>
        <w:pStyle w:val="ListParagraph"/>
        <w:numPr>
          <w:ilvl w:val="0"/>
          <w:numId w:val="5"/>
        </w:numPr>
        <w:rPr>
          <w:rFonts w:eastAsia="Arial"/>
        </w:rPr>
      </w:pPr>
      <w:r>
        <w:rPr>
          <w:rFonts w:eastAsia="Arial"/>
        </w:rPr>
        <w:t xml:space="preserve">Where </w:t>
      </w:r>
      <w:r w:rsidR="00375A47">
        <w:rPr>
          <w:rFonts w:eastAsia="Arial"/>
        </w:rPr>
        <w:t>Lewisham</w:t>
      </w:r>
      <w:r>
        <w:rPr>
          <w:rFonts w:eastAsia="Arial"/>
        </w:rPr>
        <w:t xml:space="preserve"> identified that specific costs represented outliers, the local authority contacted providers to query these cost lines – for example, inflationary outliers. </w:t>
      </w:r>
    </w:p>
    <w:p w14:paraId="546461B7" w14:textId="32F86B09" w:rsidR="00E27A87" w:rsidRDefault="0082019A" w:rsidP="2B66D59B">
      <w:pPr>
        <w:pStyle w:val="ListParagraph"/>
        <w:numPr>
          <w:ilvl w:val="0"/>
          <w:numId w:val="5"/>
        </w:numPr>
        <w:rPr>
          <w:rFonts w:eastAsia="Arial"/>
        </w:rPr>
      </w:pPr>
      <w:r>
        <w:rPr>
          <w:rFonts w:eastAsia="Arial"/>
        </w:rPr>
        <w:t>I</w:t>
      </w:r>
      <w:r w:rsidR="006F0DB2">
        <w:rPr>
          <w:rFonts w:eastAsia="Arial"/>
        </w:rPr>
        <w:t>n the absence of sufficiently clear</w:t>
      </w:r>
      <w:r w:rsidR="00646B9E">
        <w:rPr>
          <w:rFonts w:eastAsia="Arial"/>
        </w:rPr>
        <w:t xml:space="preserve"> guidance</w:t>
      </w:r>
      <w:r w:rsidR="004A62B1">
        <w:rPr>
          <w:rFonts w:eastAsia="Arial"/>
        </w:rPr>
        <w:t xml:space="preserve"> or </w:t>
      </w:r>
      <w:r w:rsidR="00D04E2D">
        <w:rPr>
          <w:rFonts w:eastAsia="Arial"/>
        </w:rPr>
        <w:t>adequate</w:t>
      </w:r>
      <w:r w:rsidR="004A62B1">
        <w:rPr>
          <w:rFonts w:eastAsia="Arial"/>
        </w:rPr>
        <w:t xml:space="preserve"> time for in-depth verification of costs, </w:t>
      </w:r>
      <w:r w:rsidR="00375A47">
        <w:rPr>
          <w:rFonts w:eastAsia="Arial"/>
        </w:rPr>
        <w:t>Lewisham</w:t>
      </w:r>
      <w:r w:rsidR="004A62B1">
        <w:rPr>
          <w:rFonts w:eastAsia="Arial"/>
        </w:rPr>
        <w:t xml:space="preserve"> resolved to focus primarily</w:t>
      </w:r>
      <w:r w:rsidR="00E27A87">
        <w:rPr>
          <w:rFonts w:eastAsia="Arial"/>
        </w:rPr>
        <w:t xml:space="preserve"> on</w:t>
      </w:r>
      <w:r w:rsidR="00D04E2D">
        <w:rPr>
          <w:rFonts w:eastAsia="Arial"/>
        </w:rPr>
        <w:t xml:space="preserve"> </w:t>
      </w:r>
      <w:r w:rsidR="009076F4">
        <w:rPr>
          <w:rFonts w:eastAsia="Arial"/>
        </w:rPr>
        <w:t>applying a consistent approach to specific cost lines where there is industry guidance and a clear evidence base to inform an</w:t>
      </w:r>
      <w:r w:rsidR="00F212ED">
        <w:rPr>
          <w:rFonts w:eastAsia="Arial"/>
        </w:rPr>
        <w:t>y adjustments required.</w:t>
      </w:r>
    </w:p>
    <w:p w14:paraId="65C6BF93" w14:textId="00AD8085" w:rsidR="474955D0" w:rsidRPr="007702E3" w:rsidRDefault="474955D0" w:rsidP="2B66D59B">
      <w:pPr>
        <w:pStyle w:val="ListParagraph"/>
        <w:numPr>
          <w:ilvl w:val="0"/>
          <w:numId w:val="5"/>
        </w:numPr>
        <w:rPr>
          <w:rFonts w:eastAsia="Arial"/>
        </w:rPr>
      </w:pPr>
      <w:r w:rsidRPr="007702E3">
        <w:rPr>
          <w:rFonts w:eastAsia="Arial"/>
        </w:rPr>
        <w:t>The key area of analysis focused on determining an appropriate approach relating to Return on Operations (ROO) and Return on Capital (ROC), as the basis for calculating a median rate for this market.</w:t>
      </w:r>
    </w:p>
    <w:p w14:paraId="238F7009" w14:textId="2FA81EDF" w:rsidR="2B66D59B" w:rsidRPr="00A7072D" w:rsidRDefault="5795BE6B" w:rsidP="2B66D59B">
      <w:pPr>
        <w:pStyle w:val="ListParagraph"/>
        <w:numPr>
          <w:ilvl w:val="0"/>
          <w:numId w:val="5"/>
        </w:numPr>
        <w:rPr>
          <w:rFonts w:eastAsia="Arial"/>
        </w:rPr>
      </w:pPr>
      <w:r w:rsidRPr="00A324DE">
        <w:rPr>
          <w:rFonts w:eastAsia="Arial"/>
        </w:rPr>
        <w:t>The</w:t>
      </w:r>
      <w:r w:rsidR="194F66E6" w:rsidRPr="00A324DE">
        <w:rPr>
          <w:rFonts w:eastAsia="Arial"/>
        </w:rPr>
        <w:t xml:space="preserve"> outcome </w:t>
      </w:r>
      <w:r w:rsidR="684654C5" w:rsidRPr="00A324DE">
        <w:rPr>
          <w:rFonts w:eastAsia="Arial"/>
        </w:rPr>
        <w:t xml:space="preserve">of </w:t>
      </w:r>
      <w:r w:rsidR="5D64677B" w:rsidRPr="00A324DE">
        <w:rPr>
          <w:rFonts w:eastAsia="Arial"/>
        </w:rPr>
        <w:t>the analysis</w:t>
      </w:r>
      <w:r w:rsidR="684654C5" w:rsidRPr="00A324DE">
        <w:rPr>
          <w:rFonts w:eastAsia="Arial"/>
        </w:rPr>
        <w:t xml:space="preserve"> wa</w:t>
      </w:r>
      <w:r w:rsidR="5D64677B" w:rsidRPr="00A324DE">
        <w:rPr>
          <w:rFonts w:eastAsia="Arial"/>
        </w:rPr>
        <w:t>s the application</w:t>
      </w:r>
      <w:r w:rsidRPr="00A324DE">
        <w:rPr>
          <w:rFonts w:eastAsia="Arial"/>
        </w:rPr>
        <w:t xml:space="preserve"> </w:t>
      </w:r>
      <w:r w:rsidR="5D64677B" w:rsidRPr="00A324DE">
        <w:rPr>
          <w:rFonts w:eastAsia="Arial"/>
        </w:rPr>
        <w:t xml:space="preserve">of </w:t>
      </w:r>
      <w:r w:rsidR="5D5013F4" w:rsidRPr="00A324DE">
        <w:rPr>
          <w:rFonts w:eastAsia="Arial"/>
        </w:rPr>
        <w:t xml:space="preserve">a </w:t>
      </w:r>
      <w:r w:rsidR="001A569D" w:rsidRPr="00A324DE">
        <w:rPr>
          <w:rFonts w:eastAsia="Arial"/>
        </w:rPr>
        <w:t>6</w:t>
      </w:r>
      <w:r w:rsidR="4DD1F447" w:rsidRPr="00A324DE">
        <w:rPr>
          <w:rFonts w:eastAsia="Arial"/>
        </w:rPr>
        <w:t xml:space="preserve">% rate for return on </w:t>
      </w:r>
      <w:r w:rsidR="74AFC3AC" w:rsidRPr="00A324DE">
        <w:rPr>
          <w:rFonts w:eastAsia="Arial"/>
        </w:rPr>
        <w:t>profit (</w:t>
      </w:r>
      <w:r w:rsidRPr="00A324DE">
        <w:rPr>
          <w:rFonts w:eastAsia="Arial"/>
        </w:rPr>
        <w:t xml:space="preserve">ROO) and </w:t>
      </w:r>
      <w:r w:rsidR="001A569D" w:rsidRPr="00A324DE">
        <w:rPr>
          <w:rFonts w:eastAsia="Arial"/>
        </w:rPr>
        <w:t>17</w:t>
      </w:r>
      <w:r w:rsidR="4DD1F447" w:rsidRPr="00A324DE">
        <w:rPr>
          <w:rFonts w:eastAsia="Arial"/>
        </w:rPr>
        <w:t>% return on capital (ROC)</w:t>
      </w:r>
      <w:r w:rsidR="5FFF5796" w:rsidRPr="00A324DE">
        <w:rPr>
          <w:rFonts w:eastAsia="Arial"/>
        </w:rPr>
        <w:t>.</w:t>
      </w:r>
      <w:r w:rsidR="00B2485F" w:rsidRPr="00A7072D">
        <w:rPr>
          <w:rFonts w:eastAsia="Arial"/>
        </w:rPr>
        <w:t xml:space="preserve"> </w:t>
      </w:r>
    </w:p>
    <w:p w14:paraId="69B70681" w14:textId="5F77A1BA" w:rsidR="7D6A22CF" w:rsidRDefault="545E1DA9" w:rsidP="2B66D59B">
      <w:pPr>
        <w:pStyle w:val="ListParagraph"/>
        <w:numPr>
          <w:ilvl w:val="0"/>
          <w:numId w:val="5"/>
        </w:numPr>
      </w:pPr>
      <w:r w:rsidRPr="007702E3">
        <w:t xml:space="preserve">The </w:t>
      </w:r>
      <w:r w:rsidR="6F566D5D" w:rsidRPr="007702E3">
        <w:t>table</w:t>
      </w:r>
      <w:r w:rsidRPr="007702E3">
        <w:t xml:space="preserve"> below</w:t>
      </w:r>
      <w:r w:rsidR="438FB956" w:rsidRPr="007702E3">
        <w:t xml:space="preserve"> </w:t>
      </w:r>
      <w:r w:rsidR="6F566D5D" w:rsidRPr="007702E3">
        <w:t>the count of observations, lower quartile, median and upper quartile (where relevant) of all items in Annex A, Section 3</w:t>
      </w:r>
      <w:r w:rsidR="05648F63" w:rsidRPr="007702E3">
        <w:t>:</w:t>
      </w:r>
    </w:p>
    <w:p w14:paraId="2058A0DF" w14:textId="77777777" w:rsidR="00357A89" w:rsidRDefault="00357A89" w:rsidP="00357A89"/>
    <w:p w14:paraId="5FB52095" w14:textId="77777777" w:rsidR="00EE6CD6" w:rsidRDefault="00EE6CD6" w:rsidP="00357A89"/>
    <w:p w14:paraId="42AFF096" w14:textId="77777777" w:rsidR="00EE6CD6" w:rsidRDefault="00EE6CD6" w:rsidP="00357A89"/>
    <w:p w14:paraId="72AD7904" w14:textId="77777777" w:rsidR="00EE6CD6" w:rsidRDefault="00EE6CD6" w:rsidP="00357A89"/>
    <w:p w14:paraId="04087615" w14:textId="77777777" w:rsidR="00EE6CD6" w:rsidRPr="007702E3" w:rsidRDefault="00EE6CD6" w:rsidP="00357A89"/>
    <w:tbl>
      <w:tblPr>
        <w:tblStyle w:val="TableGrid"/>
        <w:tblpPr w:leftFromText="180" w:rightFromText="180" w:vertAnchor="text" w:horzAnchor="page" w:tblpX="2062" w:tblpY="83"/>
        <w:tblW w:w="9124" w:type="dxa"/>
        <w:tblBorders>
          <w:top w:val="thickThinLargeGap" w:sz="24" w:space="0" w:color="auto"/>
          <w:left w:val="thickThinLargeGap" w:sz="24" w:space="0" w:color="auto"/>
          <w:bottom w:val="thickThinLargeGap" w:sz="24" w:space="0" w:color="auto"/>
          <w:right w:val="thickThinLargeGap" w:sz="24" w:space="0" w:color="auto"/>
          <w:insideH w:val="none" w:sz="0" w:space="0" w:color="auto"/>
          <w:insideV w:val="none" w:sz="0" w:space="0" w:color="auto"/>
        </w:tblBorders>
        <w:tblLayout w:type="fixed"/>
        <w:tblLook w:val="06A0" w:firstRow="1" w:lastRow="0" w:firstColumn="1" w:lastColumn="0" w:noHBand="1" w:noVBand="1"/>
      </w:tblPr>
      <w:tblGrid>
        <w:gridCol w:w="4526"/>
        <w:gridCol w:w="1531"/>
        <w:gridCol w:w="1097"/>
        <w:gridCol w:w="962"/>
        <w:gridCol w:w="1008"/>
      </w:tblGrid>
      <w:tr w:rsidR="007702E3" w:rsidRPr="007702E3" w14:paraId="75941684" w14:textId="77777777" w:rsidTr="00746381">
        <w:trPr>
          <w:trHeight w:val="843"/>
        </w:trPr>
        <w:tc>
          <w:tcPr>
            <w:tcW w:w="4526" w:type="dxa"/>
            <w:shd w:val="clear" w:color="auto" w:fill="B4C6E7" w:themeFill="accent1" w:themeFillTint="66"/>
            <w:vAlign w:val="bottom"/>
          </w:tcPr>
          <w:p w14:paraId="1C13B2FD" w14:textId="77777777" w:rsidR="00F46F3F" w:rsidRPr="007702E3" w:rsidRDefault="00F46F3F" w:rsidP="007702E3">
            <w:pPr>
              <w:rPr>
                <w:color w:val="000000" w:themeColor="text1"/>
              </w:rPr>
            </w:pPr>
          </w:p>
        </w:tc>
        <w:tc>
          <w:tcPr>
            <w:tcW w:w="1531" w:type="dxa"/>
            <w:shd w:val="clear" w:color="auto" w:fill="B4C6E7" w:themeFill="accent1" w:themeFillTint="66"/>
          </w:tcPr>
          <w:p w14:paraId="3AC64DAE" w14:textId="77777777" w:rsidR="00F46F3F" w:rsidRPr="007702E3" w:rsidRDefault="00F46F3F" w:rsidP="007702E3">
            <w:pPr>
              <w:rPr>
                <w:sz w:val="20"/>
                <w:szCs w:val="20"/>
              </w:rPr>
            </w:pPr>
            <w:r w:rsidRPr="007702E3">
              <w:rPr>
                <w:b/>
                <w:bCs/>
                <w:color w:val="000000" w:themeColor="text1"/>
                <w:sz w:val="20"/>
                <w:szCs w:val="20"/>
              </w:rPr>
              <w:t>Count of observations</w:t>
            </w:r>
          </w:p>
        </w:tc>
        <w:tc>
          <w:tcPr>
            <w:tcW w:w="1097" w:type="dxa"/>
            <w:shd w:val="clear" w:color="auto" w:fill="B4C6E7" w:themeFill="accent1" w:themeFillTint="66"/>
          </w:tcPr>
          <w:p w14:paraId="649EE7C5" w14:textId="77777777" w:rsidR="00F46F3F" w:rsidRPr="007702E3" w:rsidRDefault="00F46F3F" w:rsidP="007702E3">
            <w:pPr>
              <w:rPr>
                <w:sz w:val="20"/>
                <w:szCs w:val="20"/>
              </w:rPr>
            </w:pPr>
            <w:r w:rsidRPr="007702E3">
              <w:rPr>
                <w:b/>
                <w:bCs/>
                <w:color w:val="000000" w:themeColor="text1"/>
                <w:sz w:val="20"/>
                <w:szCs w:val="20"/>
              </w:rPr>
              <w:t>Lower quartile</w:t>
            </w:r>
          </w:p>
        </w:tc>
        <w:tc>
          <w:tcPr>
            <w:tcW w:w="962" w:type="dxa"/>
            <w:shd w:val="clear" w:color="auto" w:fill="B4C6E7" w:themeFill="accent1" w:themeFillTint="66"/>
          </w:tcPr>
          <w:p w14:paraId="3F2E6F6C" w14:textId="77777777" w:rsidR="00F46F3F" w:rsidRPr="007702E3" w:rsidRDefault="00F46F3F" w:rsidP="007702E3">
            <w:pPr>
              <w:rPr>
                <w:sz w:val="20"/>
                <w:szCs w:val="20"/>
              </w:rPr>
            </w:pPr>
            <w:r w:rsidRPr="007702E3">
              <w:rPr>
                <w:b/>
                <w:bCs/>
                <w:color w:val="000000" w:themeColor="text1"/>
                <w:sz w:val="20"/>
                <w:szCs w:val="20"/>
              </w:rPr>
              <w:t>Median quartile</w:t>
            </w:r>
          </w:p>
        </w:tc>
        <w:tc>
          <w:tcPr>
            <w:tcW w:w="1008" w:type="dxa"/>
            <w:shd w:val="clear" w:color="auto" w:fill="B4C6E7" w:themeFill="accent1" w:themeFillTint="66"/>
          </w:tcPr>
          <w:p w14:paraId="73754990" w14:textId="77777777" w:rsidR="00F46F3F" w:rsidRPr="007702E3" w:rsidRDefault="00F46F3F" w:rsidP="007702E3">
            <w:pPr>
              <w:rPr>
                <w:sz w:val="20"/>
                <w:szCs w:val="20"/>
              </w:rPr>
            </w:pPr>
            <w:r w:rsidRPr="007702E3">
              <w:rPr>
                <w:b/>
                <w:bCs/>
                <w:color w:val="000000" w:themeColor="text1"/>
                <w:sz w:val="20"/>
                <w:szCs w:val="20"/>
              </w:rPr>
              <w:t>Upper quartile</w:t>
            </w:r>
          </w:p>
        </w:tc>
      </w:tr>
      <w:tr w:rsidR="007702E3" w:rsidRPr="007702E3" w14:paraId="0164BA2F" w14:textId="77777777" w:rsidTr="00746381">
        <w:trPr>
          <w:trHeight w:val="394"/>
        </w:trPr>
        <w:tc>
          <w:tcPr>
            <w:tcW w:w="4526" w:type="dxa"/>
            <w:vAlign w:val="bottom"/>
          </w:tcPr>
          <w:p w14:paraId="4D30B3DF" w14:textId="77777777" w:rsidR="00F46F3F" w:rsidRPr="00572BF9" w:rsidRDefault="00F46F3F" w:rsidP="007702E3">
            <w:pPr>
              <w:rPr>
                <w:sz w:val="20"/>
                <w:szCs w:val="20"/>
              </w:rPr>
            </w:pPr>
            <w:r w:rsidRPr="00572BF9">
              <w:rPr>
                <w:color w:val="000000" w:themeColor="text1"/>
                <w:sz w:val="20"/>
                <w:szCs w:val="20"/>
              </w:rPr>
              <w:t>65+ care home places without nursing</w:t>
            </w:r>
          </w:p>
        </w:tc>
        <w:tc>
          <w:tcPr>
            <w:tcW w:w="1531" w:type="dxa"/>
            <w:vAlign w:val="bottom"/>
          </w:tcPr>
          <w:p w14:paraId="60715DD5" w14:textId="606A23D8" w:rsidR="00F46F3F" w:rsidRPr="00572BF9" w:rsidRDefault="001627F8" w:rsidP="007702E3">
            <w:pPr>
              <w:rPr>
                <w:sz w:val="20"/>
                <w:szCs w:val="20"/>
              </w:rPr>
            </w:pPr>
            <w:r>
              <w:rPr>
                <w:sz w:val="20"/>
                <w:szCs w:val="20"/>
              </w:rPr>
              <w:t>6</w:t>
            </w:r>
          </w:p>
        </w:tc>
        <w:tc>
          <w:tcPr>
            <w:tcW w:w="1097" w:type="dxa"/>
            <w:vAlign w:val="bottom"/>
          </w:tcPr>
          <w:p w14:paraId="78299CD3" w14:textId="1A7B9792" w:rsidR="00F46F3F" w:rsidRPr="00572BF9" w:rsidRDefault="008C2927" w:rsidP="008C2927">
            <w:pPr>
              <w:rPr>
                <w:sz w:val="20"/>
                <w:szCs w:val="20"/>
              </w:rPr>
            </w:pPr>
            <w:r>
              <w:rPr>
                <w:sz w:val="20"/>
                <w:szCs w:val="20"/>
              </w:rPr>
              <w:t>£765</w:t>
            </w:r>
          </w:p>
        </w:tc>
        <w:tc>
          <w:tcPr>
            <w:tcW w:w="962" w:type="dxa"/>
            <w:vAlign w:val="bottom"/>
          </w:tcPr>
          <w:p w14:paraId="6F7252CB" w14:textId="76DD2C5E" w:rsidR="00F46F3F" w:rsidRPr="001627F8" w:rsidRDefault="00114E05" w:rsidP="008C2927">
            <w:pPr>
              <w:rPr>
                <w:sz w:val="20"/>
                <w:szCs w:val="20"/>
              </w:rPr>
            </w:pPr>
            <w:r>
              <w:rPr>
                <w:sz w:val="20"/>
                <w:szCs w:val="20"/>
              </w:rPr>
              <w:t>£900</w:t>
            </w:r>
            <w:r w:rsidR="008C2927">
              <w:rPr>
                <w:sz w:val="20"/>
                <w:szCs w:val="20"/>
              </w:rPr>
              <w:t xml:space="preserve"> </w:t>
            </w:r>
          </w:p>
        </w:tc>
        <w:tc>
          <w:tcPr>
            <w:tcW w:w="1008" w:type="dxa"/>
            <w:vAlign w:val="bottom"/>
          </w:tcPr>
          <w:p w14:paraId="0FDF379A" w14:textId="16310BE6" w:rsidR="00F46F3F" w:rsidRPr="00572BF9" w:rsidRDefault="00114E05" w:rsidP="007702E3">
            <w:pPr>
              <w:rPr>
                <w:sz w:val="20"/>
                <w:szCs w:val="20"/>
              </w:rPr>
            </w:pPr>
            <w:r>
              <w:rPr>
                <w:sz w:val="20"/>
                <w:szCs w:val="20"/>
              </w:rPr>
              <w:t>£976</w:t>
            </w:r>
          </w:p>
        </w:tc>
      </w:tr>
      <w:tr w:rsidR="007702E3" w:rsidRPr="007702E3" w14:paraId="16199ABC" w14:textId="77777777" w:rsidTr="00746381">
        <w:trPr>
          <w:trHeight w:val="569"/>
        </w:trPr>
        <w:tc>
          <w:tcPr>
            <w:tcW w:w="4526" w:type="dxa"/>
            <w:vAlign w:val="bottom"/>
          </w:tcPr>
          <w:p w14:paraId="10474923" w14:textId="77777777" w:rsidR="00F46F3F" w:rsidRPr="00572BF9" w:rsidRDefault="00F46F3F" w:rsidP="007702E3">
            <w:pPr>
              <w:rPr>
                <w:sz w:val="20"/>
                <w:szCs w:val="20"/>
              </w:rPr>
            </w:pPr>
            <w:r w:rsidRPr="00572BF9">
              <w:rPr>
                <w:color w:val="000000" w:themeColor="text1"/>
                <w:sz w:val="20"/>
                <w:szCs w:val="20"/>
              </w:rPr>
              <w:t>65+ care home places without nursing, enhanced needs</w:t>
            </w:r>
          </w:p>
        </w:tc>
        <w:tc>
          <w:tcPr>
            <w:tcW w:w="1531" w:type="dxa"/>
            <w:vAlign w:val="bottom"/>
          </w:tcPr>
          <w:p w14:paraId="19CD6FB4" w14:textId="62EE0CFA" w:rsidR="00F46F3F" w:rsidRPr="00572BF9" w:rsidRDefault="001627F8" w:rsidP="007702E3">
            <w:pPr>
              <w:rPr>
                <w:sz w:val="20"/>
                <w:szCs w:val="20"/>
              </w:rPr>
            </w:pPr>
            <w:r>
              <w:rPr>
                <w:sz w:val="20"/>
                <w:szCs w:val="20"/>
              </w:rPr>
              <w:t>6</w:t>
            </w:r>
          </w:p>
        </w:tc>
        <w:tc>
          <w:tcPr>
            <w:tcW w:w="1097" w:type="dxa"/>
            <w:vAlign w:val="bottom"/>
          </w:tcPr>
          <w:p w14:paraId="7942FCE7" w14:textId="6A72AF7C" w:rsidR="00F46F3F" w:rsidRPr="00572BF9" w:rsidRDefault="00A6762F" w:rsidP="00A6762F">
            <w:pPr>
              <w:rPr>
                <w:sz w:val="20"/>
                <w:szCs w:val="20"/>
              </w:rPr>
            </w:pPr>
            <w:r>
              <w:rPr>
                <w:sz w:val="20"/>
                <w:szCs w:val="20"/>
              </w:rPr>
              <w:t xml:space="preserve">£879 </w:t>
            </w:r>
          </w:p>
        </w:tc>
        <w:tc>
          <w:tcPr>
            <w:tcW w:w="962" w:type="dxa"/>
            <w:vAlign w:val="bottom"/>
          </w:tcPr>
          <w:p w14:paraId="19ED2E6E" w14:textId="66878469" w:rsidR="00F46F3F" w:rsidRPr="001627F8" w:rsidRDefault="00114E05" w:rsidP="007702E3">
            <w:pPr>
              <w:rPr>
                <w:sz w:val="20"/>
                <w:szCs w:val="20"/>
              </w:rPr>
            </w:pPr>
            <w:r>
              <w:rPr>
                <w:sz w:val="20"/>
                <w:szCs w:val="20"/>
              </w:rPr>
              <w:t>£925</w:t>
            </w:r>
          </w:p>
        </w:tc>
        <w:tc>
          <w:tcPr>
            <w:tcW w:w="1008" w:type="dxa"/>
            <w:vAlign w:val="bottom"/>
          </w:tcPr>
          <w:p w14:paraId="3B1B019C" w14:textId="51617005" w:rsidR="00F46F3F" w:rsidRPr="00572BF9" w:rsidRDefault="00114E05" w:rsidP="007702E3">
            <w:pPr>
              <w:rPr>
                <w:sz w:val="20"/>
                <w:szCs w:val="20"/>
              </w:rPr>
            </w:pPr>
            <w:r>
              <w:rPr>
                <w:sz w:val="20"/>
                <w:szCs w:val="20"/>
              </w:rPr>
              <w:t>£1,038</w:t>
            </w:r>
          </w:p>
        </w:tc>
      </w:tr>
      <w:tr w:rsidR="001627F8" w:rsidRPr="007702E3" w14:paraId="66F88AAE" w14:textId="77777777" w:rsidTr="00746381">
        <w:trPr>
          <w:trHeight w:val="683"/>
        </w:trPr>
        <w:tc>
          <w:tcPr>
            <w:tcW w:w="4526" w:type="dxa"/>
            <w:vAlign w:val="bottom"/>
          </w:tcPr>
          <w:p w14:paraId="6F51E8B3" w14:textId="77777777" w:rsidR="001627F8" w:rsidRPr="00572BF9" w:rsidRDefault="001627F8" w:rsidP="001627F8">
            <w:pPr>
              <w:rPr>
                <w:sz w:val="20"/>
                <w:szCs w:val="20"/>
              </w:rPr>
            </w:pPr>
            <w:r w:rsidRPr="00572BF9">
              <w:rPr>
                <w:color w:val="000000" w:themeColor="text1"/>
                <w:sz w:val="20"/>
                <w:szCs w:val="20"/>
              </w:rPr>
              <w:t>65+ care home places with nursing</w:t>
            </w:r>
          </w:p>
        </w:tc>
        <w:tc>
          <w:tcPr>
            <w:tcW w:w="1531" w:type="dxa"/>
            <w:vAlign w:val="bottom"/>
          </w:tcPr>
          <w:p w14:paraId="34590307" w14:textId="6174C828" w:rsidR="001627F8" w:rsidRPr="00572BF9" w:rsidRDefault="001627F8" w:rsidP="001627F8">
            <w:pPr>
              <w:rPr>
                <w:sz w:val="20"/>
                <w:szCs w:val="20"/>
              </w:rPr>
            </w:pPr>
            <w:r>
              <w:rPr>
                <w:sz w:val="20"/>
                <w:szCs w:val="20"/>
              </w:rPr>
              <w:t>3</w:t>
            </w:r>
          </w:p>
        </w:tc>
        <w:tc>
          <w:tcPr>
            <w:tcW w:w="1097" w:type="dxa"/>
            <w:vAlign w:val="bottom"/>
          </w:tcPr>
          <w:p w14:paraId="55D601E0" w14:textId="23A33151" w:rsidR="001627F8" w:rsidRPr="00572BF9" w:rsidRDefault="001627F8" w:rsidP="001627F8">
            <w:pPr>
              <w:rPr>
                <w:color w:val="000000" w:themeColor="text1"/>
                <w:sz w:val="20"/>
                <w:szCs w:val="20"/>
              </w:rPr>
            </w:pPr>
            <w:r>
              <w:rPr>
                <w:sz w:val="20"/>
                <w:szCs w:val="20"/>
              </w:rPr>
              <w:t xml:space="preserve">£1,092 </w:t>
            </w:r>
          </w:p>
        </w:tc>
        <w:tc>
          <w:tcPr>
            <w:tcW w:w="962" w:type="dxa"/>
            <w:vAlign w:val="bottom"/>
          </w:tcPr>
          <w:p w14:paraId="0E12E284" w14:textId="3F89CC4F" w:rsidR="001627F8" w:rsidRPr="00572BF9" w:rsidRDefault="00114E05" w:rsidP="001627F8">
            <w:pPr>
              <w:rPr>
                <w:color w:val="000000" w:themeColor="text1"/>
                <w:sz w:val="20"/>
                <w:szCs w:val="20"/>
              </w:rPr>
            </w:pPr>
            <w:r>
              <w:rPr>
                <w:sz w:val="20"/>
                <w:szCs w:val="20"/>
              </w:rPr>
              <w:t>£1185</w:t>
            </w:r>
          </w:p>
        </w:tc>
        <w:tc>
          <w:tcPr>
            <w:tcW w:w="1008" w:type="dxa"/>
            <w:vAlign w:val="bottom"/>
          </w:tcPr>
          <w:p w14:paraId="0588AA43" w14:textId="050AD730" w:rsidR="001627F8" w:rsidRPr="00572BF9" w:rsidRDefault="00114E05" w:rsidP="001627F8">
            <w:pPr>
              <w:rPr>
                <w:sz w:val="20"/>
                <w:szCs w:val="20"/>
              </w:rPr>
            </w:pPr>
            <w:r>
              <w:rPr>
                <w:sz w:val="20"/>
                <w:szCs w:val="20"/>
              </w:rPr>
              <w:t>£1,345</w:t>
            </w:r>
          </w:p>
        </w:tc>
      </w:tr>
      <w:tr w:rsidR="001627F8" w:rsidRPr="007702E3" w14:paraId="4C473870" w14:textId="77777777" w:rsidTr="00746381">
        <w:trPr>
          <w:trHeight w:val="945"/>
        </w:trPr>
        <w:tc>
          <w:tcPr>
            <w:tcW w:w="4526" w:type="dxa"/>
            <w:vAlign w:val="bottom"/>
          </w:tcPr>
          <w:p w14:paraId="67ED13D8" w14:textId="77777777" w:rsidR="001627F8" w:rsidRPr="00572BF9" w:rsidRDefault="001627F8" w:rsidP="001627F8">
            <w:pPr>
              <w:rPr>
                <w:sz w:val="20"/>
                <w:szCs w:val="20"/>
              </w:rPr>
            </w:pPr>
            <w:r w:rsidRPr="00572BF9">
              <w:rPr>
                <w:color w:val="000000" w:themeColor="text1"/>
                <w:sz w:val="20"/>
                <w:szCs w:val="20"/>
              </w:rPr>
              <w:t>65+ care home places with nursing, enhanced needs</w:t>
            </w:r>
          </w:p>
        </w:tc>
        <w:tc>
          <w:tcPr>
            <w:tcW w:w="1531" w:type="dxa"/>
            <w:vAlign w:val="bottom"/>
          </w:tcPr>
          <w:p w14:paraId="0D1F2F1F" w14:textId="582F919A" w:rsidR="001627F8" w:rsidRPr="00572BF9" w:rsidRDefault="001627F8" w:rsidP="001627F8">
            <w:pPr>
              <w:rPr>
                <w:sz w:val="20"/>
                <w:szCs w:val="20"/>
              </w:rPr>
            </w:pPr>
            <w:r>
              <w:rPr>
                <w:sz w:val="20"/>
                <w:szCs w:val="20"/>
              </w:rPr>
              <w:t>3</w:t>
            </w:r>
          </w:p>
        </w:tc>
        <w:tc>
          <w:tcPr>
            <w:tcW w:w="1097" w:type="dxa"/>
            <w:vAlign w:val="bottom"/>
          </w:tcPr>
          <w:p w14:paraId="005F7016" w14:textId="1679EFF5" w:rsidR="001627F8" w:rsidRPr="00572BF9" w:rsidRDefault="001627F8" w:rsidP="001627F8">
            <w:pPr>
              <w:rPr>
                <w:color w:val="000000" w:themeColor="text1"/>
                <w:sz w:val="20"/>
                <w:szCs w:val="20"/>
              </w:rPr>
            </w:pPr>
            <w:r>
              <w:rPr>
                <w:sz w:val="20"/>
                <w:szCs w:val="20"/>
              </w:rPr>
              <w:t>£1,092</w:t>
            </w:r>
          </w:p>
        </w:tc>
        <w:tc>
          <w:tcPr>
            <w:tcW w:w="962" w:type="dxa"/>
            <w:vAlign w:val="bottom"/>
          </w:tcPr>
          <w:p w14:paraId="5EF74B6A" w14:textId="77777777" w:rsidR="001627F8" w:rsidRPr="001627F8" w:rsidRDefault="001627F8" w:rsidP="001627F8">
            <w:pPr>
              <w:suppressAutoHyphens w:val="0"/>
              <w:rPr>
                <w:rFonts w:ascii="Calibri" w:hAnsi="Calibri" w:cs="Calibri"/>
                <w:bCs/>
                <w:color w:val="000000"/>
                <w:sz w:val="22"/>
                <w:szCs w:val="22"/>
              </w:rPr>
            </w:pPr>
          </w:p>
          <w:p w14:paraId="685BBBD4" w14:textId="6F31E55F" w:rsidR="001627F8" w:rsidRPr="00572BF9" w:rsidRDefault="001627F8" w:rsidP="00114E05">
            <w:pPr>
              <w:rPr>
                <w:sz w:val="20"/>
                <w:szCs w:val="20"/>
              </w:rPr>
            </w:pPr>
            <w:r>
              <w:rPr>
                <w:sz w:val="20"/>
                <w:szCs w:val="20"/>
              </w:rPr>
              <w:t>£1,24</w:t>
            </w:r>
            <w:r w:rsidR="00114E05">
              <w:rPr>
                <w:sz w:val="20"/>
                <w:szCs w:val="20"/>
              </w:rPr>
              <w:t>0</w:t>
            </w:r>
          </w:p>
        </w:tc>
        <w:tc>
          <w:tcPr>
            <w:tcW w:w="1008" w:type="dxa"/>
            <w:vAlign w:val="bottom"/>
          </w:tcPr>
          <w:p w14:paraId="2241AAEE" w14:textId="582B9123" w:rsidR="001627F8" w:rsidRPr="00572BF9" w:rsidRDefault="00114E05" w:rsidP="001627F8">
            <w:pPr>
              <w:rPr>
                <w:sz w:val="20"/>
                <w:szCs w:val="20"/>
              </w:rPr>
            </w:pPr>
            <w:r>
              <w:rPr>
                <w:sz w:val="20"/>
                <w:szCs w:val="20"/>
              </w:rPr>
              <w:t>£</w:t>
            </w:r>
            <w:r w:rsidR="00CF465D">
              <w:rPr>
                <w:sz w:val="20"/>
                <w:szCs w:val="20"/>
              </w:rPr>
              <w:t>1,486</w:t>
            </w:r>
          </w:p>
        </w:tc>
      </w:tr>
    </w:tbl>
    <w:p w14:paraId="1B5A672D" w14:textId="5C74710F" w:rsidR="00F46F3F" w:rsidRPr="007702E3" w:rsidRDefault="00F46F3F" w:rsidP="2689F34E"/>
    <w:p w14:paraId="6DA7B86C" w14:textId="77777777" w:rsidR="007702E3" w:rsidRDefault="007702E3" w:rsidP="007702E3">
      <w:pPr>
        <w:pStyle w:val="ListParagraph"/>
      </w:pPr>
    </w:p>
    <w:p w14:paraId="6AE9DC4D" w14:textId="5C6D5718" w:rsidR="0069647E" w:rsidRDefault="545E1DA9" w:rsidP="2689F34E">
      <w:pPr>
        <w:pStyle w:val="ListParagraph"/>
        <w:numPr>
          <w:ilvl w:val="0"/>
          <w:numId w:val="5"/>
        </w:numPr>
      </w:pPr>
      <w:r w:rsidRPr="007702E3">
        <w:t xml:space="preserve">The </w:t>
      </w:r>
      <w:r w:rsidR="5AAA81B4" w:rsidRPr="007702E3">
        <w:t xml:space="preserve">table </w:t>
      </w:r>
      <w:r w:rsidR="634092D6" w:rsidRPr="007702E3">
        <w:t>below show</w:t>
      </w:r>
      <w:r w:rsidR="25C87348" w:rsidRPr="007702E3">
        <w:t>s</w:t>
      </w:r>
      <w:r w:rsidR="634092D6" w:rsidRPr="007702E3">
        <w:t xml:space="preserve"> the </w:t>
      </w:r>
      <w:r w:rsidR="6F566D5D" w:rsidRPr="001A569D">
        <w:rPr>
          <w:b/>
        </w:rPr>
        <w:t>Annex A</w:t>
      </w:r>
      <w:r w:rsidR="25C87348" w:rsidRPr="007702E3">
        <w:t xml:space="preserve"> table</w:t>
      </w:r>
      <w:r w:rsidR="6F566D5D" w:rsidRPr="007702E3">
        <w:t xml:space="preserve">, </w:t>
      </w:r>
      <w:r w:rsidR="6F566D5D" w:rsidRPr="001A569D">
        <w:rPr>
          <w:b/>
        </w:rPr>
        <w:t xml:space="preserve">Section 3 </w:t>
      </w:r>
      <w:r w:rsidR="6F566D5D" w:rsidRPr="007702E3">
        <w:t>with one column of</w:t>
      </w:r>
      <w:r w:rsidR="25C87348" w:rsidRPr="007702E3">
        <w:t xml:space="preserve"> </w:t>
      </w:r>
      <w:r w:rsidR="5AAA81B4" w:rsidRPr="007702E3">
        <w:t xml:space="preserve">showing the overall </w:t>
      </w:r>
      <w:r w:rsidR="6F566D5D" w:rsidRPr="007702E3">
        <w:t>median values for each care type</w:t>
      </w:r>
      <w:r w:rsidR="5AAA81B4" w:rsidRPr="007702E3">
        <w:t xml:space="preserve"> subtotal</w:t>
      </w:r>
      <w:r w:rsidR="64479AAF" w:rsidRPr="007702E3">
        <w:t>. Th</w:t>
      </w:r>
      <w:r w:rsidR="301A7028" w:rsidRPr="007702E3">
        <w:t xml:space="preserve">is approach provides a more reliable </w:t>
      </w:r>
      <w:r w:rsidR="7FB66D4F" w:rsidRPr="007702E3">
        <w:t xml:space="preserve">median value and resolves some of the issues </w:t>
      </w:r>
      <w:r w:rsidR="55E3F5E6" w:rsidRPr="007702E3">
        <w:t>with</w:t>
      </w:r>
      <w:r w:rsidR="64479AAF" w:rsidRPr="007702E3">
        <w:t xml:space="preserve"> </w:t>
      </w:r>
      <w:r w:rsidR="55E3F5E6" w:rsidRPr="007702E3">
        <w:t>the quality of the information</w:t>
      </w:r>
      <w:r w:rsidR="1E7515EA" w:rsidRPr="007702E3">
        <w:t xml:space="preserve"> </w:t>
      </w:r>
      <w:r w:rsidR="55E3F5E6" w:rsidRPr="007702E3">
        <w:t>relating to specific cost lines and the median calculation method</w:t>
      </w:r>
      <w:r w:rsidR="55E3F5E6" w:rsidRPr="007702E3">
        <w:rPr>
          <w:b/>
          <w:bCs/>
        </w:rPr>
        <w:t xml:space="preserve">. </w:t>
      </w:r>
      <w:r w:rsidR="6EF5BE4F" w:rsidRPr="007702E3">
        <w:t>As the median rate simply selects one value in the middle of the range of prices submitted by providers, this does not guarantee that a median rate will correspond with an accurate market rate. For example, this calculation method produces a lower rate for care home placements under the category</w:t>
      </w:r>
      <w:r w:rsidR="00357A89">
        <w:t xml:space="preserve"> ‘With</w:t>
      </w:r>
      <w:r w:rsidR="6EF5BE4F" w:rsidRPr="007702E3">
        <w:t xml:space="preserve"> nursing</w:t>
      </w:r>
      <w:r w:rsidR="00357A89">
        <w:t xml:space="preserve">, enhanced needs’ than ‘With </w:t>
      </w:r>
      <w:r w:rsidR="6EF5BE4F" w:rsidRPr="007702E3">
        <w:t>nursing’ due to having a different number of rates submitted for each category. In practice, the opposite is true: care for clients with enhanced needs typically exceeds the cost of standard care.</w:t>
      </w:r>
    </w:p>
    <w:p w14:paraId="343BB252" w14:textId="77777777" w:rsidR="003072E5" w:rsidRPr="007702E3" w:rsidRDefault="003072E5" w:rsidP="003072E5">
      <w:pPr>
        <w:pStyle w:val="ListParagraph"/>
      </w:pPr>
    </w:p>
    <w:p w14:paraId="3E574320" w14:textId="760E30FA" w:rsidR="00DA3421" w:rsidRDefault="002505CE" w:rsidP="00DA3421">
      <w:r w:rsidRPr="002505CE">
        <w:rPr>
          <w:noProof/>
          <w:lang w:eastAsia="en-GB"/>
        </w:rPr>
        <w:drawing>
          <wp:inline distT="0" distB="0" distL="0" distR="0" wp14:anchorId="056AF60E" wp14:editId="5D669CF2">
            <wp:extent cx="5731827" cy="17030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372" cy="1708580"/>
                    </a:xfrm>
                    <a:prstGeom prst="rect">
                      <a:avLst/>
                    </a:prstGeom>
                    <a:noFill/>
                    <a:ln>
                      <a:noFill/>
                    </a:ln>
                  </pic:spPr>
                </pic:pic>
              </a:graphicData>
            </a:graphic>
          </wp:inline>
        </w:drawing>
      </w:r>
    </w:p>
    <w:p w14:paraId="4FCF5D76" w14:textId="0BE27EEE" w:rsidR="00114E05" w:rsidRPr="00DA3421" w:rsidRDefault="00114E05" w:rsidP="00DA3421"/>
    <w:p w14:paraId="6B0312C5" w14:textId="77777777" w:rsidR="00DA3421" w:rsidRPr="00DA3421" w:rsidRDefault="00DA3421" w:rsidP="00DA3421"/>
    <w:p w14:paraId="32E67111" w14:textId="6FF40B32" w:rsidR="00DA3421" w:rsidRDefault="00DA3421" w:rsidP="00DA3421"/>
    <w:p w14:paraId="005E7248" w14:textId="4252E409" w:rsidR="00ED34E1" w:rsidRPr="00DA3421" w:rsidRDefault="00DA3421" w:rsidP="00DA3421">
      <w:pPr>
        <w:tabs>
          <w:tab w:val="left" w:pos="1730"/>
        </w:tabs>
      </w:pPr>
      <w:r>
        <w:tab/>
      </w:r>
    </w:p>
    <w:sectPr w:rsidR="00ED34E1" w:rsidRPr="00DA34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92F7" w14:textId="77777777" w:rsidR="00047E64" w:rsidRDefault="00047E64">
      <w:pPr>
        <w:spacing w:after="0" w:line="240" w:lineRule="auto"/>
      </w:pPr>
      <w:r>
        <w:separator/>
      </w:r>
    </w:p>
  </w:endnote>
  <w:endnote w:type="continuationSeparator" w:id="0">
    <w:p w14:paraId="0A5681B9" w14:textId="77777777" w:rsidR="00047E64" w:rsidRDefault="00047E64">
      <w:pPr>
        <w:spacing w:after="0" w:line="240" w:lineRule="auto"/>
      </w:pPr>
      <w:r>
        <w:continuationSeparator/>
      </w:r>
    </w:p>
  </w:endnote>
  <w:endnote w:type="continuationNotice" w:id="1">
    <w:p w14:paraId="34DDFB0A" w14:textId="77777777" w:rsidR="00047E64" w:rsidRDefault="00047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C958" w14:textId="77777777" w:rsidR="00047E64" w:rsidRDefault="00047E64">
      <w:pPr>
        <w:spacing w:after="0" w:line="240" w:lineRule="auto"/>
      </w:pPr>
      <w:r>
        <w:rPr>
          <w:color w:val="000000"/>
        </w:rPr>
        <w:separator/>
      </w:r>
    </w:p>
  </w:footnote>
  <w:footnote w:type="continuationSeparator" w:id="0">
    <w:p w14:paraId="7E74B3BD" w14:textId="77777777" w:rsidR="00047E64" w:rsidRDefault="00047E64">
      <w:pPr>
        <w:spacing w:after="0" w:line="240" w:lineRule="auto"/>
      </w:pPr>
      <w:r>
        <w:continuationSeparator/>
      </w:r>
    </w:p>
  </w:footnote>
  <w:footnote w:type="continuationNotice" w:id="1">
    <w:p w14:paraId="194F9A25" w14:textId="77777777" w:rsidR="00047E64" w:rsidRDefault="00047E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9C35"/>
    <w:multiLevelType w:val="hybridMultilevel"/>
    <w:tmpl w:val="F0C09E22"/>
    <w:lvl w:ilvl="0" w:tplc="EBAE2946">
      <w:start w:val="1"/>
      <w:numFmt w:val="bullet"/>
      <w:lvlText w:val=""/>
      <w:lvlJc w:val="left"/>
      <w:pPr>
        <w:ind w:left="720" w:hanging="360"/>
      </w:pPr>
      <w:rPr>
        <w:rFonts w:ascii="Symbol" w:hAnsi="Symbol" w:hint="default"/>
      </w:rPr>
    </w:lvl>
    <w:lvl w:ilvl="1" w:tplc="CA769C28">
      <w:start w:val="1"/>
      <w:numFmt w:val="bullet"/>
      <w:lvlText w:val="o"/>
      <w:lvlJc w:val="left"/>
      <w:pPr>
        <w:ind w:left="1440" w:hanging="360"/>
      </w:pPr>
      <w:rPr>
        <w:rFonts w:ascii="Courier New" w:hAnsi="Courier New" w:hint="default"/>
      </w:rPr>
    </w:lvl>
    <w:lvl w:ilvl="2" w:tplc="48FEC59E">
      <w:start w:val="1"/>
      <w:numFmt w:val="bullet"/>
      <w:lvlText w:val=""/>
      <w:lvlJc w:val="left"/>
      <w:pPr>
        <w:ind w:left="2160" w:hanging="360"/>
      </w:pPr>
      <w:rPr>
        <w:rFonts w:ascii="Wingdings" w:hAnsi="Wingdings" w:hint="default"/>
      </w:rPr>
    </w:lvl>
    <w:lvl w:ilvl="3" w:tplc="C56A1AFC">
      <w:start w:val="1"/>
      <w:numFmt w:val="bullet"/>
      <w:lvlText w:val=""/>
      <w:lvlJc w:val="left"/>
      <w:pPr>
        <w:ind w:left="2880" w:hanging="360"/>
      </w:pPr>
      <w:rPr>
        <w:rFonts w:ascii="Symbol" w:hAnsi="Symbol" w:hint="default"/>
      </w:rPr>
    </w:lvl>
    <w:lvl w:ilvl="4" w:tplc="B2E8F062">
      <w:start w:val="1"/>
      <w:numFmt w:val="bullet"/>
      <w:lvlText w:val="o"/>
      <w:lvlJc w:val="left"/>
      <w:pPr>
        <w:ind w:left="3600" w:hanging="360"/>
      </w:pPr>
      <w:rPr>
        <w:rFonts w:ascii="Courier New" w:hAnsi="Courier New" w:hint="default"/>
      </w:rPr>
    </w:lvl>
    <w:lvl w:ilvl="5" w:tplc="A39C3282">
      <w:start w:val="1"/>
      <w:numFmt w:val="bullet"/>
      <w:lvlText w:val=""/>
      <w:lvlJc w:val="left"/>
      <w:pPr>
        <w:ind w:left="4320" w:hanging="360"/>
      </w:pPr>
      <w:rPr>
        <w:rFonts w:ascii="Wingdings" w:hAnsi="Wingdings" w:hint="default"/>
      </w:rPr>
    </w:lvl>
    <w:lvl w:ilvl="6" w:tplc="1DEE739C">
      <w:start w:val="1"/>
      <w:numFmt w:val="bullet"/>
      <w:lvlText w:val=""/>
      <w:lvlJc w:val="left"/>
      <w:pPr>
        <w:ind w:left="5040" w:hanging="360"/>
      </w:pPr>
      <w:rPr>
        <w:rFonts w:ascii="Symbol" w:hAnsi="Symbol" w:hint="default"/>
      </w:rPr>
    </w:lvl>
    <w:lvl w:ilvl="7" w:tplc="A2F2AE4A">
      <w:start w:val="1"/>
      <w:numFmt w:val="bullet"/>
      <w:lvlText w:val="o"/>
      <w:lvlJc w:val="left"/>
      <w:pPr>
        <w:ind w:left="5760" w:hanging="360"/>
      </w:pPr>
      <w:rPr>
        <w:rFonts w:ascii="Courier New" w:hAnsi="Courier New" w:hint="default"/>
      </w:rPr>
    </w:lvl>
    <w:lvl w:ilvl="8" w:tplc="CF465B32">
      <w:start w:val="1"/>
      <w:numFmt w:val="bullet"/>
      <w:lvlText w:val=""/>
      <w:lvlJc w:val="left"/>
      <w:pPr>
        <w:ind w:left="6480" w:hanging="360"/>
      </w:pPr>
      <w:rPr>
        <w:rFonts w:ascii="Wingdings" w:hAnsi="Wingdings" w:hint="default"/>
      </w:rPr>
    </w:lvl>
  </w:abstractNum>
  <w:abstractNum w:abstractNumId="1" w15:restartNumberingAfterBreak="0">
    <w:nsid w:val="0CE304C8"/>
    <w:multiLevelType w:val="multilevel"/>
    <w:tmpl w:val="569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2336F"/>
    <w:multiLevelType w:val="multilevel"/>
    <w:tmpl w:val="CD2CC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614FFF"/>
    <w:multiLevelType w:val="hybridMultilevel"/>
    <w:tmpl w:val="4A4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F45AC"/>
    <w:multiLevelType w:val="multilevel"/>
    <w:tmpl w:val="1696C268"/>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F84250F"/>
    <w:multiLevelType w:val="multilevel"/>
    <w:tmpl w:val="D542F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8C7E9A"/>
    <w:multiLevelType w:val="hybridMultilevel"/>
    <w:tmpl w:val="393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B6201"/>
    <w:multiLevelType w:val="multilevel"/>
    <w:tmpl w:val="3AA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BD385E"/>
    <w:multiLevelType w:val="multilevel"/>
    <w:tmpl w:val="38BCFB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B4124F"/>
    <w:multiLevelType w:val="multilevel"/>
    <w:tmpl w:val="4F004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CA749D"/>
    <w:multiLevelType w:val="hybridMultilevel"/>
    <w:tmpl w:val="C83C50C0"/>
    <w:lvl w:ilvl="0" w:tplc="2530E854">
      <w:start w:val="1"/>
      <w:numFmt w:val="bullet"/>
      <w:lvlText w:val=""/>
      <w:lvlJc w:val="left"/>
      <w:pPr>
        <w:ind w:left="720" w:hanging="360"/>
      </w:pPr>
      <w:rPr>
        <w:rFonts w:ascii="Symbol" w:hAnsi="Symbol" w:hint="default"/>
      </w:rPr>
    </w:lvl>
    <w:lvl w:ilvl="1" w:tplc="A2E811CA">
      <w:start w:val="1"/>
      <w:numFmt w:val="bullet"/>
      <w:lvlText w:val="o"/>
      <w:lvlJc w:val="left"/>
      <w:pPr>
        <w:ind w:left="1440" w:hanging="360"/>
      </w:pPr>
      <w:rPr>
        <w:rFonts w:ascii="Courier New" w:hAnsi="Courier New" w:hint="default"/>
      </w:rPr>
    </w:lvl>
    <w:lvl w:ilvl="2" w:tplc="C966C176">
      <w:start w:val="1"/>
      <w:numFmt w:val="bullet"/>
      <w:lvlText w:val=""/>
      <w:lvlJc w:val="left"/>
      <w:pPr>
        <w:ind w:left="2160" w:hanging="360"/>
      </w:pPr>
      <w:rPr>
        <w:rFonts w:ascii="Wingdings" w:hAnsi="Wingdings" w:hint="default"/>
      </w:rPr>
    </w:lvl>
    <w:lvl w:ilvl="3" w:tplc="744E6314">
      <w:start w:val="1"/>
      <w:numFmt w:val="bullet"/>
      <w:lvlText w:val=""/>
      <w:lvlJc w:val="left"/>
      <w:pPr>
        <w:ind w:left="2880" w:hanging="360"/>
      </w:pPr>
      <w:rPr>
        <w:rFonts w:ascii="Symbol" w:hAnsi="Symbol" w:hint="default"/>
      </w:rPr>
    </w:lvl>
    <w:lvl w:ilvl="4" w:tplc="90464E22">
      <w:start w:val="1"/>
      <w:numFmt w:val="bullet"/>
      <w:lvlText w:val="o"/>
      <w:lvlJc w:val="left"/>
      <w:pPr>
        <w:ind w:left="3600" w:hanging="360"/>
      </w:pPr>
      <w:rPr>
        <w:rFonts w:ascii="Courier New" w:hAnsi="Courier New" w:hint="default"/>
      </w:rPr>
    </w:lvl>
    <w:lvl w:ilvl="5" w:tplc="06C4DFD6">
      <w:start w:val="1"/>
      <w:numFmt w:val="bullet"/>
      <w:lvlText w:val=""/>
      <w:lvlJc w:val="left"/>
      <w:pPr>
        <w:ind w:left="4320" w:hanging="360"/>
      </w:pPr>
      <w:rPr>
        <w:rFonts w:ascii="Wingdings" w:hAnsi="Wingdings" w:hint="default"/>
      </w:rPr>
    </w:lvl>
    <w:lvl w:ilvl="6" w:tplc="A4AAB77E">
      <w:start w:val="1"/>
      <w:numFmt w:val="bullet"/>
      <w:lvlText w:val=""/>
      <w:lvlJc w:val="left"/>
      <w:pPr>
        <w:ind w:left="5040" w:hanging="360"/>
      </w:pPr>
      <w:rPr>
        <w:rFonts w:ascii="Symbol" w:hAnsi="Symbol" w:hint="default"/>
      </w:rPr>
    </w:lvl>
    <w:lvl w:ilvl="7" w:tplc="E8ACA2A4">
      <w:start w:val="1"/>
      <w:numFmt w:val="bullet"/>
      <w:lvlText w:val="o"/>
      <w:lvlJc w:val="left"/>
      <w:pPr>
        <w:ind w:left="5760" w:hanging="360"/>
      </w:pPr>
      <w:rPr>
        <w:rFonts w:ascii="Courier New" w:hAnsi="Courier New" w:hint="default"/>
      </w:rPr>
    </w:lvl>
    <w:lvl w:ilvl="8" w:tplc="02EA4B00">
      <w:start w:val="1"/>
      <w:numFmt w:val="bullet"/>
      <w:lvlText w:val=""/>
      <w:lvlJc w:val="left"/>
      <w:pPr>
        <w:ind w:left="6480" w:hanging="360"/>
      </w:pPr>
      <w:rPr>
        <w:rFonts w:ascii="Wingdings" w:hAnsi="Wingdings" w:hint="default"/>
      </w:rPr>
    </w:lvl>
  </w:abstractNum>
  <w:abstractNum w:abstractNumId="11" w15:restartNumberingAfterBreak="0">
    <w:nsid w:val="504D674D"/>
    <w:multiLevelType w:val="multilevel"/>
    <w:tmpl w:val="5F1871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72411F"/>
    <w:multiLevelType w:val="hybridMultilevel"/>
    <w:tmpl w:val="B838AB66"/>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65AD4"/>
    <w:multiLevelType w:val="multilevel"/>
    <w:tmpl w:val="A6E2B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8"/>
  </w:num>
  <w:num w:numId="4">
    <w:abstractNumId w:val="9"/>
  </w:num>
  <w:num w:numId="5">
    <w:abstractNumId w:val="13"/>
  </w:num>
  <w:num w:numId="6">
    <w:abstractNumId w:val="7"/>
  </w:num>
  <w:num w:numId="7">
    <w:abstractNumId w:val="3"/>
  </w:num>
  <w:num w:numId="8">
    <w:abstractNumId w:val="2"/>
  </w:num>
  <w:num w:numId="9">
    <w:abstractNumId w:val="6"/>
  </w:num>
  <w:num w:numId="10">
    <w:abstractNumId w:val="0"/>
  </w:num>
  <w:num w:numId="11">
    <w:abstractNumId w:val="1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E1"/>
    <w:rsid w:val="00005441"/>
    <w:rsid w:val="00043C9D"/>
    <w:rsid w:val="00045966"/>
    <w:rsid w:val="00047E64"/>
    <w:rsid w:val="00050FB5"/>
    <w:rsid w:val="000541BC"/>
    <w:rsid w:val="000544F3"/>
    <w:rsid w:val="000748E5"/>
    <w:rsid w:val="00075A03"/>
    <w:rsid w:val="00076601"/>
    <w:rsid w:val="00090475"/>
    <w:rsid w:val="000A47B1"/>
    <w:rsid w:val="000D7849"/>
    <w:rsid w:val="001036B1"/>
    <w:rsid w:val="001120EE"/>
    <w:rsid w:val="00114E05"/>
    <w:rsid w:val="0012279A"/>
    <w:rsid w:val="001276A6"/>
    <w:rsid w:val="001277F3"/>
    <w:rsid w:val="00130E87"/>
    <w:rsid w:val="00132600"/>
    <w:rsid w:val="00154449"/>
    <w:rsid w:val="001627F8"/>
    <w:rsid w:val="00162E76"/>
    <w:rsid w:val="00172BB4"/>
    <w:rsid w:val="001A1300"/>
    <w:rsid w:val="001A569D"/>
    <w:rsid w:val="001A62CC"/>
    <w:rsid w:val="001C0009"/>
    <w:rsid w:val="001C3402"/>
    <w:rsid w:val="001D50F8"/>
    <w:rsid w:val="001D6575"/>
    <w:rsid w:val="001E254C"/>
    <w:rsid w:val="001F3380"/>
    <w:rsid w:val="002065C4"/>
    <w:rsid w:val="002220AE"/>
    <w:rsid w:val="00224A96"/>
    <w:rsid w:val="00246174"/>
    <w:rsid w:val="002505CE"/>
    <w:rsid w:val="00251054"/>
    <w:rsid w:val="0025562D"/>
    <w:rsid w:val="0028474C"/>
    <w:rsid w:val="00290062"/>
    <w:rsid w:val="00293548"/>
    <w:rsid w:val="00293634"/>
    <w:rsid w:val="00295EFC"/>
    <w:rsid w:val="002A200E"/>
    <w:rsid w:val="002A5BC6"/>
    <w:rsid w:val="002B4B34"/>
    <w:rsid w:val="002C7445"/>
    <w:rsid w:val="002E0F7E"/>
    <w:rsid w:val="002E1464"/>
    <w:rsid w:val="002E2FF0"/>
    <w:rsid w:val="002F06F2"/>
    <w:rsid w:val="0030576C"/>
    <w:rsid w:val="003072E5"/>
    <w:rsid w:val="00336A35"/>
    <w:rsid w:val="0034310F"/>
    <w:rsid w:val="003478DB"/>
    <w:rsid w:val="00351525"/>
    <w:rsid w:val="00357A89"/>
    <w:rsid w:val="00375A47"/>
    <w:rsid w:val="003830FC"/>
    <w:rsid w:val="00383F77"/>
    <w:rsid w:val="0038577A"/>
    <w:rsid w:val="003864E7"/>
    <w:rsid w:val="00386EA8"/>
    <w:rsid w:val="003A4DFD"/>
    <w:rsid w:val="003A5BF6"/>
    <w:rsid w:val="003B5584"/>
    <w:rsid w:val="003C3FD7"/>
    <w:rsid w:val="003D1B9A"/>
    <w:rsid w:val="003D28A9"/>
    <w:rsid w:val="003E626F"/>
    <w:rsid w:val="003F3388"/>
    <w:rsid w:val="003F3597"/>
    <w:rsid w:val="003F3C29"/>
    <w:rsid w:val="00416592"/>
    <w:rsid w:val="004219EA"/>
    <w:rsid w:val="00422F8C"/>
    <w:rsid w:val="00423B3F"/>
    <w:rsid w:val="00425F5A"/>
    <w:rsid w:val="004579E6"/>
    <w:rsid w:val="00470E87"/>
    <w:rsid w:val="00490E51"/>
    <w:rsid w:val="004A43AD"/>
    <w:rsid w:val="004A4F2E"/>
    <w:rsid w:val="004A62B1"/>
    <w:rsid w:val="004A746F"/>
    <w:rsid w:val="004B0A82"/>
    <w:rsid w:val="004B1550"/>
    <w:rsid w:val="004C5145"/>
    <w:rsid w:val="004D2D18"/>
    <w:rsid w:val="004E3F98"/>
    <w:rsid w:val="004F0B2B"/>
    <w:rsid w:val="00504481"/>
    <w:rsid w:val="00521F38"/>
    <w:rsid w:val="0052553E"/>
    <w:rsid w:val="00526F06"/>
    <w:rsid w:val="0052759B"/>
    <w:rsid w:val="005337E6"/>
    <w:rsid w:val="00541E56"/>
    <w:rsid w:val="005474DE"/>
    <w:rsid w:val="00553942"/>
    <w:rsid w:val="00553B81"/>
    <w:rsid w:val="00554F54"/>
    <w:rsid w:val="0056134E"/>
    <w:rsid w:val="005672FD"/>
    <w:rsid w:val="00572BF9"/>
    <w:rsid w:val="005A5550"/>
    <w:rsid w:val="005B06DE"/>
    <w:rsid w:val="005D1684"/>
    <w:rsid w:val="005D4BD5"/>
    <w:rsid w:val="005E1935"/>
    <w:rsid w:val="005E245A"/>
    <w:rsid w:val="00612019"/>
    <w:rsid w:val="0062071E"/>
    <w:rsid w:val="0064330E"/>
    <w:rsid w:val="00644142"/>
    <w:rsid w:val="00646B9E"/>
    <w:rsid w:val="00652CC3"/>
    <w:rsid w:val="00662C64"/>
    <w:rsid w:val="006655CB"/>
    <w:rsid w:val="006818C0"/>
    <w:rsid w:val="00695F9B"/>
    <w:rsid w:val="0069647E"/>
    <w:rsid w:val="006A15D3"/>
    <w:rsid w:val="006A33E5"/>
    <w:rsid w:val="006A58A7"/>
    <w:rsid w:val="006B37C7"/>
    <w:rsid w:val="006B632E"/>
    <w:rsid w:val="006C2345"/>
    <w:rsid w:val="006D00AE"/>
    <w:rsid w:val="006D65BE"/>
    <w:rsid w:val="006F0DB2"/>
    <w:rsid w:val="006F2A28"/>
    <w:rsid w:val="006F5721"/>
    <w:rsid w:val="00700143"/>
    <w:rsid w:val="00701B8F"/>
    <w:rsid w:val="007029C9"/>
    <w:rsid w:val="00702D6F"/>
    <w:rsid w:val="00710327"/>
    <w:rsid w:val="00722F5F"/>
    <w:rsid w:val="0073262A"/>
    <w:rsid w:val="00744707"/>
    <w:rsid w:val="00746381"/>
    <w:rsid w:val="00746A3E"/>
    <w:rsid w:val="00751CA5"/>
    <w:rsid w:val="007702E3"/>
    <w:rsid w:val="00771768"/>
    <w:rsid w:val="00775F42"/>
    <w:rsid w:val="00784C84"/>
    <w:rsid w:val="0078735F"/>
    <w:rsid w:val="007A3DDD"/>
    <w:rsid w:val="007B0EE9"/>
    <w:rsid w:val="007C6BA3"/>
    <w:rsid w:val="007D16B7"/>
    <w:rsid w:val="007D66BE"/>
    <w:rsid w:val="007D7A97"/>
    <w:rsid w:val="0081497E"/>
    <w:rsid w:val="0082019A"/>
    <w:rsid w:val="008245F1"/>
    <w:rsid w:val="00827EAE"/>
    <w:rsid w:val="008314E5"/>
    <w:rsid w:val="00852CB8"/>
    <w:rsid w:val="00853CC0"/>
    <w:rsid w:val="008617B3"/>
    <w:rsid w:val="008723F8"/>
    <w:rsid w:val="00890258"/>
    <w:rsid w:val="00890F96"/>
    <w:rsid w:val="008922C3"/>
    <w:rsid w:val="00894DC2"/>
    <w:rsid w:val="00896C5F"/>
    <w:rsid w:val="008A134D"/>
    <w:rsid w:val="008A7EB7"/>
    <w:rsid w:val="008B749F"/>
    <w:rsid w:val="008C2927"/>
    <w:rsid w:val="008C3304"/>
    <w:rsid w:val="008C661B"/>
    <w:rsid w:val="008D53E7"/>
    <w:rsid w:val="008D7402"/>
    <w:rsid w:val="008D770C"/>
    <w:rsid w:val="008F7050"/>
    <w:rsid w:val="008F73C6"/>
    <w:rsid w:val="008FE42B"/>
    <w:rsid w:val="009076F4"/>
    <w:rsid w:val="00913DA2"/>
    <w:rsid w:val="0092486A"/>
    <w:rsid w:val="00933035"/>
    <w:rsid w:val="009421F4"/>
    <w:rsid w:val="00952E4D"/>
    <w:rsid w:val="0097441D"/>
    <w:rsid w:val="00985BAD"/>
    <w:rsid w:val="0099379E"/>
    <w:rsid w:val="009967FA"/>
    <w:rsid w:val="00997A69"/>
    <w:rsid w:val="00997CA8"/>
    <w:rsid w:val="009A3DE8"/>
    <w:rsid w:val="009B2527"/>
    <w:rsid w:val="009B44AE"/>
    <w:rsid w:val="009B4F4C"/>
    <w:rsid w:val="009B6C49"/>
    <w:rsid w:val="009D0BD2"/>
    <w:rsid w:val="009D1ED9"/>
    <w:rsid w:val="009E04DE"/>
    <w:rsid w:val="009E5E59"/>
    <w:rsid w:val="00A03977"/>
    <w:rsid w:val="00A13590"/>
    <w:rsid w:val="00A17DDD"/>
    <w:rsid w:val="00A324DE"/>
    <w:rsid w:val="00A50151"/>
    <w:rsid w:val="00A62CD8"/>
    <w:rsid w:val="00A63F71"/>
    <w:rsid w:val="00A6731F"/>
    <w:rsid w:val="00A6762F"/>
    <w:rsid w:val="00A7072D"/>
    <w:rsid w:val="00A73E5B"/>
    <w:rsid w:val="00A83E98"/>
    <w:rsid w:val="00A86E9E"/>
    <w:rsid w:val="00A968FF"/>
    <w:rsid w:val="00AA7F94"/>
    <w:rsid w:val="00AB2BD0"/>
    <w:rsid w:val="00AB6F2D"/>
    <w:rsid w:val="00AD04F9"/>
    <w:rsid w:val="00AD736D"/>
    <w:rsid w:val="00AE05DA"/>
    <w:rsid w:val="00AE3833"/>
    <w:rsid w:val="00AF1D73"/>
    <w:rsid w:val="00B009F7"/>
    <w:rsid w:val="00B01DC3"/>
    <w:rsid w:val="00B138BD"/>
    <w:rsid w:val="00B173A2"/>
    <w:rsid w:val="00B22196"/>
    <w:rsid w:val="00B2485F"/>
    <w:rsid w:val="00B32E90"/>
    <w:rsid w:val="00B53B77"/>
    <w:rsid w:val="00B577D2"/>
    <w:rsid w:val="00B63D35"/>
    <w:rsid w:val="00B85BCB"/>
    <w:rsid w:val="00BA1927"/>
    <w:rsid w:val="00BC0A77"/>
    <w:rsid w:val="00BC15FA"/>
    <w:rsid w:val="00BC2149"/>
    <w:rsid w:val="00BC22A5"/>
    <w:rsid w:val="00BE4EEF"/>
    <w:rsid w:val="00BE5F66"/>
    <w:rsid w:val="00BE681E"/>
    <w:rsid w:val="00C20710"/>
    <w:rsid w:val="00C23D74"/>
    <w:rsid w:val="00C24324"/>
    <w:rsid w:val="00C348C7"/>
    <w:rsid w:val="00C4345D"/>
    <w:rsid w:val="00C51F12"/>
    <w:rsid w:val="00C522AB"/>
    <w:rsid w:val="00C549B8"/>
    <w:rsid w:val="00C67B97"/>
    <w:rsid w:val="00C80F0F"/>
    <w:rsid w:val="00C862E9"/>
    <w:rsid w:val="00C94521"/>
    <w:rsid w:val="00CA3BE6"/>
    <w:rsid w:val="00CA6BFC"/>
    <w:rsid w:val="00CB3477"/>
    <w:rsid w:val="00CB5009"/>
    <w:rsid w:val="00CD165C"/>
    <w:rsid w:val="00CD403E"/>
    <w:rsid w:val="00CD7D4D"/>
    <w:rsid w:val="00CE2801"/>
    <w:rsid w:val="00CF465D"/>
    <w:rsid w:val="00D04E2D"/>
    <w:rsid w:val="00D05BEF"/>
    <w:rsid w:val="00D1099F"/>
    <w:rsid w:val="00D12A7A"/>
    <w:rsid w:val="00D32A55"/>
    <w:rsid w:val="00D34AE6"/>
    <w:rsid w:val="00D36B3E"/>
    <w:rsid w:val="00D5395C"/>
    <w:rsid w:val="00D541F2"/>
    <w:rsid w:val="00D56D51"/>
    <w:rsid w:val="00D65CFF"/>
    <w:rsid w:val="00D70931"/>
    <w:rsid w:val="00D72BA9"/>
    <w:rsid w:val="00D74B43"/>
    <w:rsid w:val="00D7544C"/>
    <w:rsid w:val="00D81F0D"/>
    <w:rsid w:val="00D830DB"/>
    <w:rsid w:val="00DA3421"/>
    <w:rsid w:val="00DA5F3E"/>
    <w:rsid w:val="00DA69AC"/>
    <w:rsid w:val="00DB0D28"/>
    <w:rsid w:val="00DC4774"/>
    <w:rsid w:val="00DC7602"/>
    <w:rsid w:val="00DD0F62"/>
    <w:rsid w:val="00DD36BF"/>
    <w:rsid w:val="00DE42B0"/>
    <w:rsid w:val="00DE482C"/>
    <w:rsid w:val="00E1167E"/>
    <w:rsid w:val="00E26BA8"/>
    <w:rsid w:val="00E27A87"/>
    <w:rsid w:val="00E34FED"/>
    <w:rsid w:val="00E412A1"/>
    <w:rsid w:val="00E4626D"/>
    <w:rsid w:val="00E65083"/>
    <w:rsid w:val="00E70CCC"/>
    <w:rsid w:val="00E71810"/>
    <w:rsid w:val="00E748A5"/>
    <w:rsid w:val="00E8613C"/>
    <w:rsid w:val="00EA7B1F"/>
    <w:rsid w:val="00EB0E5C"/>
    <w:rsid w:val="00EB5D34"/>
    <w:rsid w:val="00EC148B"/>
    <w:rsid w:val="00EC1C78"/>
    <w:rsid w:val="00EC4FFB"/>
    <w:rsid w:val="00ED34E1"/>
    <w:rsid w:val="00ED3D6E"/>
    <w:rsid w:val="00ED4BC8"/>
    <w:rsid w:val="00EE2B51"/>
    <w:rsid w:val="00EE6CD6"/>
    <w:rsid w:val="00F212ED"/>
    <w:rsid w:val="00F349B0"/>
    <w:rsid w:val="00F34CD7"/>
    <w:rsid w:val="00F378E7"/>
    <w:rsid w:val="00F41AB1"/>
    <w:rsid w:val="00F46F3F"/>
    <w:rsid w:val="00F67FAC"/>
    <w:rsid w:val="00F72203"/>
    <w:rsid w:val="00F8106D"/>
    <w:rsid w:val="00FA078F"/>
    <w:rsid w:val="00FC189C"/>
    <w:rsid w:val="00FC4D48"/>
    <w:rsid w:val="00FC6FAB"/>
    <w:rsid w:val="00FC75DA"/>
    <w:rsid w:val="00FE38D6"/>
    <w:rsid w:val="05648F63"/>
    <w:rsid w:val="0569B2C9"/>
    <w:rsid w:val="08BAB1E6"/>
    <w:rsid w:val="09B95E41"/>
    <w:rsid w:val="108610CD"/>
    <w:rsid w:val="187EA934"/>
    <w:rsid w:val="194F66E6"/>
    <w:rsid w:val="1B93B7C6"/>
    <w:rsid w:val="1D0C0383"/>
    <w:rsid w:val="1E7515EA"/>
    <w:rsid w:val="1F16A127"/>
    <w:rsid w:val="24EE22ED"/>
    <w:rsid w:val="25C87348"/>
    <w:rsid w:val="2689F34E"/>
    <w:rsid w:val="274FC477"/>
    <w:rsid w:val="29B27D26"/>
    <w:rsid w:val="2B66D59B"/>
    <w:rsid w:val="2C6FCF74"/>
    <w:rsid w:val="301A7028"/>
    <w:rsid w:val="30F09AA6"/>
    <w:rsid w:val="32603AD6"/>
    <w:rsid w:val="405EB102"/>
    <w:rsid w:val="41FA8163"/>
    <w:rsid w:val="438FB956"/>
    <w:rsid w:val="43CFCF58"/>
    <w:rsid w:val="4466A933"/>
    <w:rsid w:val="4645EEF3"/>
    <w:rsid w:val="474955D0"/>
    <w:rsid w:val="4DD1F447"/>
    <w:rsid w:val="4FAF94D7"/>
    <w:rsid w:val="545E1DA9"/>
    <w:rsid w:val="548517E6"/>
    <w:rsid w:val="55E3F5E6"/>
    <w:rsid w:val="5795BE6B"/>
    <w:rsid w:val="59318ECC"/>
    <w:rsid w:val="5AAA81B4"/>
    <w:rsid w:val="5D5013F4"/>
    <w:rsid w:val="5D64677B"/>
    <w:rsid w:val="5FE37E79"/>
    <w:rsid w:val="5FFF5796"/>
    <w:rsid w:val="634092D6"/>
    <w:rsid w:val="64479AAF"/>
    <w:rsid w:val="684654C5"/>
    <w:rsid w:val="6EF5BE4F"/>
    <w:rsid w:val="6F1CB88C"/>
    <w:rsid w:val="6F566D5D"/>
    <w:rsid w:val="74AFC3AC"/>
    <w:rsid w:val="7564FFD3"/>
    <w:rsid w:val="7D6A22CF"/>
    <w:rsid w:val="7FB6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DA56E"/>
  <w15:docId w15:val="{666F4B02-4AF4-49AE-B6F1-5D9231D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szCs w:val="24"/>
    </w:rPr>
  </w:style>
  <w:style w:type="paragraph" w:styleId="Heading1">
    <w:name w:val="heading 1"/>
    <w:basedOn w:val="Normal"/>
    <w:next w:val="Normal"/>
    <w:uiPriority w:val="9"/>
    <w:qFormat/>
    <w:pPr>
      <w:keepNext/>
      <w:keepLines/>
      <w:spacing w:before="240" w:after="0"/>
      <w:outlineLvl w:val="0"/>
    </w:pPr>
    <w:rPr>
      <w:rFonts w:eastAsia="Times New Roman"/>
      <w:b/>
      <w:bCs/>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color w:val="2F5496"/>
      <w:sz w:val="32"/>
      <w:szCs w:val="32"/>
    </w:rPr>
  </w:style>
  <w:style w:type="paragraph" w:styleId="ListParagraph">
    <w:name w:val="List Paragraph"/>
    <w:basedOn w:val="Normal"/>
    <w:uiPriority w:val="34"/>
    <w:qFormat/>
    <w:pPr>
      <w:ind w:left="720"/>
    </w:pPr>
  </w:style>
  <w:style w:type="character" w:customStyle="1" w:styleId="normaltextrun">
    <w:name w:val="normaltextrun"/>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 w:type="character" w:styleId="Hyperlink">
    <w:name w:val="Hyperlink"/>
    <w:basedOn w:val="DefaultParagraphFont"/>
    <w:uiPriority w:val="99"/>
    <w:unhideWhenUsed/>
    <w:rsid w:val="001D6575"/>
    <w:rPr>
      <w:color w:val="0563C1" w:themeColor="hyperlink"/>
      <w:u w:val="single"/>
    </w:rPr>
  </w:style>
  <w:style w:type="character" w:customStyle="1" w:styleId="UnresolvedMention">
    <w:name w:val="Unresolved Mention"/>
    <w:basedOn w:val="DefaultParagraphFont"/>
    <w:uiPriority w:val="99"/>
    <w:unhideWhenUsed/>
    <w:rsid w:val="001D6575"/>
    <w:rPr>
      <w:color w:val="605E5C"/>
      <w:shd w:val="clear" w:color="auto" w:fill="E1DFDD"/>
    </w:rPr>
  </w:style>
  <w:style w:type="character" w:customStyle="1" w:styleId="Mention">
    <w:name w:val="Mention"/>
    <w:basedOn w:val="DefaultParagraphFont"/>
    <w:uiPriority w:val="99"/>
    <w:unhideWhenUsed/>
    <w:rsid w:val="003A5BF6"/>
    <w:rPr>
      <w:color w:val="2B579A"/>
      <w:shd w:val="clear" w:color="auto" w:fill="E1DFDD"/>
    </w:rPr>
  </w:style>
  <w:style w:type="paragraph" w:styleId="Header">
    <w:name w:val="header"/>
    <w:basedOn w:val="Normal"/>
    <w:link w:val="HeaderChar"/>
    <w:uiPriority w:val="99"/>
    <w:semiHidden/>
    <w:unhideWhenUsed/>
    <w:rsid w:val="004B15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1550"/>
    <w:rPr>
      <w:rFonts w:ascii="Arial" w:hAnsi="Arial" w:cs="Arial"/>
      <w:sz w:val="24"/>
      <w:szCs w:val="24"/>
    </w:rPr>
  </w:style>
  <w:style w:type="paragraph" w:styleId="Footer">
    <w:name w:val="footer"/>
    <w:basedOn w:val="Normal"/>
    <w:link w:val="FooterChar"/>
    <w:uiPriority w:val="99"/>
    <w:semiHidden/>
    <w:unhideWhenUsed/>
    <w:rsid w:val="004B15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1550"/>
    <w:rPr>
      <w:rFonts w:ascii="Arial" w:hAnsi="Arial" w:cs="Arial"/>
      <w:sz w:val="24"/>
      <w:szCs w:val="24"/>
    </w:rPr>
  </w:style>
  <w:style w:type="table" w:styleId="TableGrid">
    <w:name w:val="Table Grid"/>
    <w:basedOn w:val="TableNormal"/>
    <w:uiPriority w:val="59"/>
    <w:rsid w:val="004B1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B1550"/>
    <w:pPr>
      <w:autoSpaceDN/>
      <w:spacing w:after="0" w:line="240" w:lineRule="auto"/>
      <w:textAlignment w:val="auto"/>
    </w:pPr>
    <w:rPr>
      <w:rFonts w:ascii="Arial" w:hAnsi="Arial" w:cs="Arial"/>
      <w:sz w:val="24"/>
      <w:szCs w:val="24"/>
    </w:rPr>
  </w:style>
  <w:style w:type="paragraph" w:customStyle="1" w:styleId="paragraph">
    <w:name w:val="paragraph"/>
    <w:basedOn w:val="Normal"/>
    <w:rsid w:val="004B1550"/>
    <w:pPr>
      <w:suppressAutoHyphens w:val="0"/>
      <w:autoSpaceDN/>
      <w:spacing w:before="100" w:beforeAutospacing="1" w:after="100" w:afterAutospacing="1" w:line="240" w:lineRule="auto"/>
      <w:textAlignment w:val="auto"/>
    </w:pPr>
    <w:rPr>
      <w:rFonts w:ascii="Times New Roman" w:eastAsia="Times New Roman" w:hAnsi="Times New Roman" w:cs="Times New Roman"/>
      <w:lang w:eastAsia="en-GB"/>
    </w:rPr>
  </w:style>
  <w:style w:type="character" w:customStyle="1" w:styleId="eop">
    <w:name w:val="eop"/>
    <w:basedOn w:val="DefaultParagraphFont"/>
    <w:rsid w:val="004B1550"/>
  </w:style>
  <w:style w:type="paragraph" w:styleId="BalloonText">
    <w:name w:val="Balloon Text"/>
    <w:basedOn w:val="Normal"/>
    <w:link w:val="BalloonTextChar"/>
    <w:uiPriority w:val="99"/>
    <w:semiHidden/>
    <w:unhideWhenUsed/>
    <w:rsid w:val="0070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9333">
      <w:bodyDiv w:val="1"/>
      <w:marLeft w:val="0"/>
      <w:marRight w:val="0"/>
      <w:marTop w:val="0"/>
      <w:marBottom w:val="0"/>
      <w:divBdr>
        <w:top w:val="none" w:sz="0" w:space="0" w:color="auto"/>
        <w:left w:val="none" w:sz="0" w:space="0" w:color="auto"/>
        <w:bottom w:val="none" w:sz="0" w:space="0" w:color="auto"/>
        <w:right w:val="none" w:sz="0" w:space="0" w:color="auto"/>
      </w:divBdr>
    </w:div>
    <w:div w:id="487864275">
      <w:bodyDiv w:val="1"/>
      <w:marLeft w:val="0"/>
      <w:marRight w:val="0"/>
      <w:marTop w:val="0"/>
      <w:marBottom w:val="0"/>
      <w:divBdr>
        <w:top w:val="none" w:sz="0" w:space="0" w:color="auto"/>
        <w:left w:val="none" w:sz="0" w:space="0" w:color="auto"/>
        <w:bottom w:val="none" w:sz="0" w:space="0" w:color="auto"/>
        <w:right w:val="none" w:sz="0" w:space="0" w:color="auto"/>
      </w:divBdr>
    </w:div>
    <w:div w:id="1118403914">
      <w:bodyDiv w:val="1"/>
      <w:marLeft w:val="0"/>
      <w:marRight w:val="0"/>
      <w:marTop w:val="0"/>
      <w:marBottom w:val="0"/>
      <w:divBdr>
        <w:top w:val="none" w:sz="0" w:space="0" w:color="auto"/>
        <w:left w:val="none" w:sz="0" w:space="0" w:color="auto"/>
        <w:bottom w:val="none" w:sz="0" w:space="0" w:color="auto"/>
        <w:right w:val="none" w:sz="0" w:space="0" w:color="auto"/>
      </w:divBdr>
    </w:div>
    <w:div w:id="1214775598">
      <w:bodyDiv w:val="1"/>
      <w:marLeft w:val="0"/>
      <w:marRight w:val="0"/>
      <w:marTop w:val="0"/>
      <w:marBottom w:val="0"/>
      <w:divBdr>
        <w:top w:val="none" w:sz="0" w:space="0" w:color="auto"/>
        <w:left w:val="none" w:sz="0" w:space="0" w:color="auto"/>
        <w:bottom w:val="none" w:sz="0" w:space="0" w:color="auto"/>
        <w:right w:val="none" w:sz="0" w:space="0" w:color="auto"/>
      </w:divBdr>
    </w:div>
    <w:div w:id="1797020804">
      <w:bodyDiv w:val="1"/>
      <w:marLeft w:val="0"/>
      <w:marRight w:val="0"/>
      <w:marTop w:val="0"/>
      <w:marBottom w:val="0"/>
      <w:divBdr>
        <w:top w:val="none" w:sz="0" w:space="0" w:color="auto"/>
        <w:left w:val="none" w:sz="0" w:space="0" w:color="auto"/>
        <w:bottom w:val="none" w:sz="0" w:space="0" w:color="auto"/>
        <w:right w:val="none" w:sz="0" w:space="0" w:color="auto"/>
      </w:divBdr>
    </w:div>
    <w:div w:id="18750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359BA5684494486E7DB1B07A17C4F" ma:contentTypeVersion="7" ma:contentTypeDescription="Create a new document." ma:contentTypeScope="" ma:versionID="32b1270456b2bea4e2ae38059a5a76c4">
  <xsd:schema xmlns:xsd="http://www.w3.org/2001/XMLSchema" xmlns:xs="http://www.w3.org/2001/XMLSchema" xmlns:p="http://schemas.microsoft.com/office/2006/metadata/properties" xmlns:ns2="d801dfb0-0264-48a9-8f99-8a9b41061805" xmlns:ns3="a1227a87-bb63-41f3-b7e8-585edb0d69ca" targetNamespace="http://schemas.microsoft.com/office/2006/metadata/properties" ma:root="true" ma:fieldsID="935b8eb14046b489b542bb76448bf783" ns2:_="" ns3:_="">
    <xsd:import namespace="d801dfb0-0264-48a9-8f99-8a9b41061805"/>
    <xsd:import namespace="a1227a87-bb63-41f3-b7e8-585edb0d6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dfb0-0264-48a9-8f99-8a9b41061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27a87-bb63-41f3-b7e8-585edb0d6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227a87-bb63-41f3-b7e8-585edb0d69ca">
      <UserInfo>
        <DisplayName>Stirrup, Adrian</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31cdb5-da7d-4a5d-b523-19dbfe538874" ContentTypeId="0x01" PreviousValue="false"/>
</file>

<file path=customXml/itemProps1.xml><?xml version="1.0" encoding="utf-8"?>
<ds:datastoreItem xmlns:ds="http://schemas.openxmlformats.org/officeDocument/2006/customXml" ds:itemID="{B9812958-CE01-41C5-B772-D623C605576B}">
  <ds:schemaRefs>
    <ds:schemaRef ds:uri="http://schemas.microsoft.com/sharepoint/v3/contenttype/forms"/>
  </ds:schemaRefs>
</ds:datastoreItem>
</file>

<file path=customXml/itemProps2.xml><?xml version="1.0" encoding="utf-8"?>
<ds:datastoreItem xmlns:ds="http://schemas.openxmlformats.org/officeDocument/2006/customXml" ds:itemID="{55AA7716-F349-4412-8B61-CE30FE39D33B}"/>
</file>

<file path=customXml/itemProps3.xml><?xml version="1.0" encoding="utf-8"?>
<ds:datastoreItem xmlns:ds="http://schemas.openxmlformats.org/officeDocument/2006/customXml" ds:itemID="{4CB6B1DA-143C-4629-8F1A-59FD3CB2C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61246-6A90-4B8E-A6BD-48BDE6A4F550}">
  <ds:schemaRefs>
    <ds:schemaRef ds:uri="http://schemas.openxmlformats.org/officeDocument/2006/bibliography"/>
  </ds:schemaRefs>
</ds:datastoreItem>
</file>

<file path=customXml/itemProps5.xml><?xml version="1.0" encoding="utf-8"?>
<ds:datastoreItem xmlns:ds="http://schemas.openxmlformats.org/officeDocument/2006/customXml" ds:itemID="{616AE5A6-CA76-4792-B300-7E2FCDC38663}"/>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Links>
    <vt:vector size="60" baseType="variant">
      <vt:variant>
        <vt:i4>7667821</vt:i4>
      </vt:variant>
      <vt:variant>
        <vt:i4>0</vt:i4>
      </vt:variant>
      <vt:variant>
        <vt:i4>0</vt:i4>
      </vt:variant>
      <vt:variant>
        <vt:i4>5</vt:i4>
      </vt:variant>
      <vt:variant>
        <vt:lpwstr>https://www.gov.uk/government/publications/market-sustainability-and-fair-cost-of-care-fund-2022-to-2023-guidance/annex-b-cost-of-care-reports-contents</vt:lpwstr>
      </vt:variant>
      <vt:variant>
        <vt:lpwstr/>
      </vt:variant>
      <vt:variant>
        <vt:i4>4128793</vt:i4>
      </vt:variant>
      <vt:variant>
        <vt:i4>24</vt:i4>
      </vt:variant>
      <vt:variant>
        <vt:i4>0</vt:i4>
      </vt:variant>
      <vt:variant>
        <vt:i4>5</vt:i4>
      </vt:variant>
      <vt:variant>
        <vt:lpwstr>mailto:INwankwo2@lambeth.gov.uk</vt:lpwstr>
      </vt:variant>
      <vt:variant>
        <vt:lpwstr/>
      </vt:variant>
      <vt:variant>
        <vt:i4>5963828</vt:i4>
      </vt:variant>
      <vt:variant>
        <vt:i4>21</vt:i4>
      </vt:variant>
      <vt:variant>
        <vt:i4>0</vt:i4>
      </vt:variant>
      <vt:variant>
        <vt:i4>5</vt:i4>
      </vt:variant>
      <vt:variant>
        <vt:lpwstr>mailto:PHesketh@lambeth.gov.uk</vt:lpwstr>
      </vt:variant>
      <vt:variant>
        <vt:lpwstr/>
      </vt:variant>
      <vt:variant>
        <vt:i4>4128793</vt:i4>
      </vt:variant>
      <vt:variant>
        <vt:i4>18</vt:i4>
      </vt:variant>
      <vt:variant>
        <vt:i4>0</vt:i4>
      </vt:variant>
      <vt:variant>
        <vt:i4>5</vt:i4>
      </vt:variant>
      <vt:variant>
        <vt:lpwstr>mailto:INwankwo2@lambeth.gov.uk</vt:lpwstr>
      </vt:variant>
      <vt:variant>
        <vt:lpwstr/>
      </vt:variant>
      <vt:variant>
        <vt:i4>4128793</vt:i4>
      </vt:variant>
      <vt:variant>
        <vt:i4>15</vt:i4>
      </vt:variant>
      <vt:variant>
        <vt:i4>0</vt:i4>
      </vt:variant>
      <vt:variant>
        <vt:i4>5</vt:i4>
      </vt:variant>
      <vt:variant>
        <vt:lpwstr>mailto:INwankwo2@lambeth.gov.uk</vt:lpwstr>
      </vt:variant>
      <vt:variant>
        <vt:lpwstr/>
      </vt:variant>
      <vt:variant>
        <vt:i4>4128793</vt:i4>
      </vt:variant>
      <vt:variant>
        <vt:i4>12</vt:i4>
      </vt:variant>
      <vt:variant>
        <vt:i4>0</vt:i4>
      </vt:variant>
      <vt:variant>
        <vt:i4>5</vt:i4>
      </vt:variant>
      <vt:variant>
        <vt:lpwstr>mailto:INwankwo2@lambeth.gov.uk</vt:lpwstr>
      </vt:variant>
      <vt:variant>
        <vt:lpwstr/>
      </vt:variant>
      <vt:variant>
        <vt:i4>4128793</vt:i4>
      </vt:variant>
      <vt:variant>
        <vt:i4>9</vt:i4>
      </vt:variant>
      <vt:variant>
        <vt:i4>0</vt:i4>
      </vt:variant>
      <vt:variant>
        <vt:i4>5</vt:i4>
      </vt:variant>
      <vt:variant>
        <vt:lpwstr>mailto:INwankwo2@lambeth.gov.uk</vt:lpwstr>
      </vt:variant>
      <vt:variant>
        <vt:lpwstr/>
      </vt:variant>
      <vt:variant>
        <vt:i4>5242991</vt:i4>
      </vt:variant>
      <vt:variant>
        <vt:i4>6</vt:i4>
      </vt:variant>
      <vt:variant>
        <vt:i4>0</vt:i4>
      </vt:variant>
      <vt:variant>
        <vt:i4>5</vt:i4>
      </vt:variant>
      <vt:variant>
        <vt:lpwstr>mailto:OOakey1@lambeth.gov.uk</vt:lpwstr>
      </vt:variant>
      <vt:variant>
        <vt:lpwstr/>
      </vt:variant>
      <vt:variant>
        <vt:i4>5963828</vt:i4>
      </vt:variant>
      <vt:variant>
        <vt:i4>3</vt:i4>
      </vt:variant>
      <vt:variant>
        <vt:i4>0</vt:i4>
      </vt:variant>
      <vt:variant>
        <vt:i4>5</vt:i4>
      </vt:variant>
      <vt:variant>
        <vt:lpwstr>mailto:PHesketh@lambeth.gov.uk</vt:lpwstr>
      </vt:variant>
      <vt:variant>
        <vt:lpwstr/>
      </vt:variant>
      <vt:variant>
        <vt:i4>4128793</vt:i4>
      </vt:variant>
      <vt:variant>
        <vt:i4>0</vt:i4>
      </vt:variant>
      <vt:variant>
        <vt:i4>0</vt:i4>
      </vt:variant>
      <vt:variant>
        <vt:i4>5</vt:i4>
      </vt:variant>
      <vt:variant>
        <vt:lpwstr>mailto:INwankwo2@lambeth.gov.uk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Alyss</dc:creator>
  <cp:keywords/>
  <dc:description/>
  <cp:lastModifiedBy>Ashong, Ken</cp:lastModifiedBy>
  <cp:revision>2</cp:revision>
  <dcterms:created xsi:type="dcterms:W3CDTF">2022-10-14T15:40:00Z</dcterms:created>
  <dcterms:modified xsi:type="dcterms:W3CDTF">2022-10-14T15:40:00Z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0x0101008BA359BA5684494486E7DB1B07A17C4F</vt:lpwstr>
  </property>
</Properties>
</file>