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A6" w:rsidRPr="00B86835" w:rsidRDefault="00D00A8F" w:rsidP="004156EA">
      <w:bookmarkStart w:id="0" w:name="_Toc98777043"/>
      <w:r w:rsidRPr="00B86835">
        <w:t>Annex B:</w:t>
      </w:r>
    </w:p>
    <w:bookmarkEnd w:id="0"/>
    <w:p w:rsidR="001C29FE" w:rsidRPr="00B86835" w:rsidRDefault="00E514A6">
      <w:pPr>
        <w:pStyle w:val="Heading1"/>
        <w:rPr>
          <w:color w:val="auto"/>
          <w:u w:val="single"/>
        </w:rPr>
      </w:pPr>
      <w:r w:rsidRPr="00B86835">
        <w:rPr>
          <w:color w:val="auto"/>
          <w:u w:val="single"/>
        </w:rPr>
        <w:t>C</w:t>
      </w:r>
      <w:r w:rsidR="00D00A8F" w:rsidRPr="00B86835">
        <w:rPr>
          <w:color w:val="auto"/>
          <w:u w:val="single"/>
        </w:rPr>
        <w:t xml:space="preserve">ost of Care Report – </w:t>
      </w:r>
      <w:r w:rsidRPr="00B86835">
        <w:rPr>
          <w:color w:val="auto"/>
          <w:u w:val="single"/>
        </w:rPr>
        <w:t>Lewisham</w:t>
      </w:r>
      <w:r w:rsidR="00D00A8F" w:rsidRPr="00B86835">
        <w:rPr>
          <w:color w:val="auto"/>
          <w:u w:val="single"/>
        </w:rPr>
        <w:t xml:space="preserve"> </w:t>
      </w:r>
      <w:r w:rsidRPr="00B86835">
        <w:rPr>
          <w:color w:val="auto"/>
          <w:u w:val="single"/>
        </w:rPr>
        <w:t xml:space="preserve">Council </w:t>
      </w:r>
      <w:r w:rsidR="00D00A8F" w:rsidRPr="00B86835">
        <w:rPr>
          <w:color w:val="auto"/>
          <w:u w:val="single"/>
        </w:rPr>
        <w:t>Home Care (18+)</w:t>
      </w:r>
    </w:p>
    <w:p w:rsidR="001C29FE" w:rsidRDefault="001C29FE"/>
    <w:p w:rsidR="00DE1F21" w:rsidRDefault="00B357E1">
      <w:r w:rsidRPr="00B357E1">
        <w:t xml:space="preserve">This report outlines the process followed by the London Borough of </w:t>
      </w:r>
      <w:r w:rsidR="00E514A6">
        <w:t>Lewisham</w:t>
      </w:r>
      <w:r w:rsidRPr="00B357E1">
        <w:t xml:space="preserve"> to complete the cost of care exercise for the Market Sustainabi</w:t>
      </w:r>
      <w:r w:rsidR="004156EA">
        <w:t>lity and Fair Cost of Care Fund</w:t>
      </w:r>
      <w:r w:rsidRPr="00B357E1">
        <w:t xml:space="preserve">. This includes the borough’s approach to analysis of provider cost of care data </w:t>
      </w:r>
      <w:r>
        <w:t>to produce the information detailed in Annex A.</w:t>
      </w:r>
    </w:p>
    <w:p w:rsidR="00E514A6" w:rsidRDefault="00B357E1">
      <w:r w:rsidRPr="00FE260D">
        <w:t xml:space="preserve">This exercise presented significant and fundamental </w:t>
      </w:r>
      <w:r w:rsidR="00E514A6">
        <w:t>challenges</w:t>
      </w:r>
      <w:r w:rsidRPr="00FE260D">
        <w:t xml:space="preserve">, including issues with data quality, lack of clarity in the structure and guidance for the exercise and unreliable results being produced by the </w:t>
      </w:r>
      <w:r w:rsidR="0015014C" w:rsidRPr="00FE260D">
        <w:t xml:space="preserve">mathematical </w:t>
      </w:r>
      <w:r w:rsidRPr="00FE260D">
        <w:t xml:space="preserve">median calculation method. </w:t>
      </w:r>
    </w:p>
    <w:p w:rsidR="00B357E1" w:rsidRPr="00B357E1" w:rsidRDefault="00E514A6">
      <w:r>
        <w:t>Lewisham</w:t>
      </w:r>
      <w:r w:rsidR="0015014C" w:rsidRPr="00FE260D">
        <w:t xml:space="preserve"> </w:t>
      </w:r>
      <w:r>
        <w:t xml:space="preserve">worked with </w:t>
      </w:r>
      <w:r w:rsidR="00836897">
        <w:t xml:space="preserve">care </w:t>
      </w:r>
      <w:r>
        <w:t>providers</w:t>
      </w:r>
      <w:r w:rsidR="0015014C" w:rsidRPr="00FE260D">
        <w:t xml:space="preserve"> to agree </w:t>
      </w:r>
      <w:r w:rsidR="000D6212">
        <w:t xml:space="preserve">a </w:t>
      </w:r>
      <w:r w:rsidR="0015014C" w:rsidRPr="00FE260D">
        <w:t>local fee rate</w:t>
      </w:r>
      <w:r w:rsidR="004156EA">
        <w:t xml:space="preserve"> that is</w:t>
      </w:r>
      <w:r w:rsidR="0015014C" w:rsidRPr="00FE260D">
        <w:t xml:space="preserve"> sustainable for the </w:t>
      </w:r>
      <w:r>
        <w:t>Lewisham</w:t>
      </w:r>
      <w:r w:rsidR="004156EA">
        <w:t xml:space="preserve"> market and incorporates the ambitions of the on</w:t>
      </w:r>
      <w:r w:rsidR="00836897">
        <w:t xml:space="preserve">-going </w:t>
      </w:r>
      <w:r w:rsidR="0015014C" w:rsidRPr="00FE260D">
        <w:t>re</w:t>
      </w:r>
      <w:r w:rsidR="004156EA">
        <w:t xml:space="preserve">-procurement of </w:t>
      </w:r>
      <w:r w:rsidR="0015014C" w:rsidRPr="00FE260D">
        <w:t>home care services in 2023.</w:t>
      </w:r>
    </w:p>
    <w:p w:rsidR="001C29FE" w:rsidRPr="00FA1929" w:rsidRDefault="00823AEE">
      <w:pPr>
        <w:rPr>
          <w:u w:val="single"/>
        </w:rPr>
      </w:pPr>
      <w:r>
        <w:rPr>
          <w:b/>
          <w:bCs/>
          <w:u w:val="single"/>
        </w:rPr>
        <w:t xml:space="preserve">Part One: </w:t>
      </w:r>
      <w:r w:rsidR="00D00A8F" w:rsidRPr="00FA1929">
        <w:rPr>
          <w:b/>
          <w:bCs/>
          <w:u w:val="single"/>
        </w:rPr>
        <w:t xml:space="preserve">Overview of the </w:t>
      </w:r>
      <w:r w:rsidR="007D2A6F" w:rsidRPr="00FA1929">
        <w:rPr>
          <w:b/>
          <w:bCs/>
          <w:u w:val="single"/>
        </w:rPr>
        <w:t>process for completing the exercise:</w:t>
      </w:r>
      <w:r w:rsidR="00D00A8F" w:rsidRPr="00FA1929">
        <w:rPr>
          <w:b/>
          <w:bCs/>
          <w:u w:val="single"/>
        </w:rPr>
        <w:t xml:space="preserve"> </w:t>
      </w:r>
    </w:p>
    <w:p w:rsidR="007D2A6F" w:rsidRPr="00FA1929" w:rsidRDefault="007D2A6F" w:rsidP="007226C5">
      <w:pPr>
        <w:spacing w:after="0"/>
        <w:contextualSpacing/>
        <w:rPr>
          <w:b/>
          <w:bCs/>
        </w:rPr>
      </w:pPr>
      <w:r w:rsidRPr="00FA1929">
        <w:rPr>
          <w:b/>
          <w:bCs/>
        </w:rPr>
        <w:t>Defining the scope of the home care market</w:t>
      </w:r>
    </w:p>
    <w:p w:rsidR="00D749A0" w:rsidRPr="004156EA" w:rsidRDefault="007D2A6F" w:rsidP="004156EA">
      <w:pPr>
        <w:pStyle w:val="ListParagraph"/>
        <w:numPr>
          <w:ilvl w:val="0"/>
          <w:numId w:val="16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 xml:space="preserve">To ensure a representative response to the Fair Cost of Care </w:t>
      </w:r>
      <w:r w:rsidR="00FA1929">
        <w:t xml:space="preserve">(FCC) </w:t>
      </w:r>
      <w:r>
        <w:t xml:space="preserve">exercise in relation to home care, </w:t>
      </w:r>
      <w:r w:rsidR="00E514A6">
        <w:t>Lewisham</w:t>
      </w:r>
      <w:r>
        <w:t xml:space="preserve"> defined the scope of the borough’s home care market as</w:t>
      </w:r>
      <w:r w:rsidR="00D749A0">
        <w:t>:</w:t>
      </w:r>
    </w:p>
    <w:p w:rsidR="004156EA" w:rsidRPr="004156EA" w:rsidRDefault="0052634E" w:rsidP="006F180C">
      <w:pPr>
        <w:pStyle w:val="ListParagraph"/>
        <w:numPr>
          <w:ilvl w:val="0"/>
          <w:numId w:val="1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>A</w:t>
      </w:r>
      <w:r w:rsidR="007D2A6F">
        <w:t xml:space="preserve">ll </w:t>
      </w:r>
      <w:r w:rsidR="00804058">
        <w:t xml:space="preserve">Care Quality Commission home care registered </w:t>
      </w:r>
      <w:r w:rsidR="007D2A6F">
        <w:t xml:space="preserve">providers </w:t>
      </w:r>
      <w:r w:rsidR="0026772E">
        <w:t xml:space="preserve">with </w:t>
      </w:r>
      <w:r w:rsidR="00804058">
        <w:t xml:space="preserve">a Branch located </w:t>
      </w:r>
      <w:r w:rsidR="007D2A6F">
        <w:t xml:space="preserve">in the borough of </w:t>
      </w:r>
      <w:r w:rsidR="00E514A6">
        <w:t>Lewisham</w:t>
      </w:r>
      <w:r w:rsidR="004156EA">
        <w:t xml:space="preserve"> </w:t>
      </w:r>
    </w:p>
    <w:p w:rsidR="007D2A6F" w:rsidRPr="006F180C" w:rsidRDefault="004156EA" w:rsidP="006F180C">
      <w:pPr>
        <w:pStyle w:val="ListParagraph"/>
        <w:numPr>
          <w:ilvl w:val="0"/>
          <w:numId w:val="1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 xml:space="preserve">And have </w:t>
      </w:r>
      <w:r w:rsidR="000D6212">
        <w:t xml:space="preserve">a </w:t>
      </w:r>
      <w:r>
        <w:t>commissioned service from the council</w:t>
      </w:r>
      <w:r w:rsidR="0052634E">
        <w:t>.</w:t>
      </w:r>
      <w:r w:rsidR="007D2A6F">
        <w:t xml:space="preserve"> </w:t>
      </w:r>
    </w:p>
    <w:p w:rsidR="00D96FF4" w:rsidRPr="004156EA" w:rsidRDefault="00B86835" w:rsidP="004156EA">
      <w:pPr>
        <w:pStyle w:val="ListParagraph"/>
        <w:numPr>
          <w:ilvl w:val="0"/>
          <w:numId w:val="1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>T</w:t>
      </w:r>
      <w:r w:rsidR="00D96FF4">
        <w:t>he LGA</w:t>
      </w:r>
      <w:r>
        <w:t xml:space="preserve"> home care cost of care toolkit published by the LGA was adopted </w:t>
      </w:r>
      <w:r w:rsidR="00D96FF4">
        <w:t>as the template for the exercise.</w:t>
      </w:r>
    </w:p>
    <w:p w:rsidR="007D2A6F" w:rsidRPr="007D2A6F" w:rsidRDefault="007D2A6F" w:rsidP="007226C5">
      <w:pPr>
        <w:suppressAutoHyphens w:val="0"/>
        <w:autoSpaceDN/>
        <w:spacing w:after="0" w:line="259" w:lineRule="auto"/>
        <w:contextualSpacing/>
        <w:textAlignment w:val="auto"/>
        <w:rPr>
          <w:b/>
        </w:rPr>
      </w:pPr>
      <w:r>
        <w:rPr>
          <w:b/>
        </w:rPr>
        <w:t>Response rate</w:t>
      </w:r>
    </w:p>
    <w:p w:rsidR="000D6212" w:rsidRPr="00494322" w:rsidRDefault="000D6212" w:rsidP="000D6212">
      <w:pPr>
        <w:pStyle w:val="ListParagraph"/>
        <w:numPr>
          <w:ilvl w:val="0"/>
          <w:numId w:val="14"/>
        </w:numPr>
        <w:shd w:val="clear" w:color="auto" w:fill="FFFFFF" w:themeFill="background1"/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>There are 59 Homecare providers in registered in Lewisham. However, 25 of these care providers do not have any commissioned services from the         council.</w:t>
      </w:r>
    </w:p>
    <w:p w:rsidR="00494322" w:rsidRPr="00494322" w:rsidRDefault="00FA1929" w:rsidP="004156EA">
      <w:pPr>
        <w:pStyle w:val="ListParagraph"/>
        <w:numPr>
          <w:ilvl w:val="0"/>
          <w:numId w:val="14"/>
        </w:numPr>
        <w:shd w:val="clear" w:color="auto" w:fill="FFFFFF" w:themeFill="background1"/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 xml:space="preserve">In total, </w:t>
      </w:r>
      <w:r w:rsidR="0052634E">
        <w:t>16</w:t>
      </w:r>
      <w:r w:rsidR="007D2A6F">
        <w:t xml:space="preserve"> home care providers submitted FCC </w:t>
      </w:r>
      <w:r>
        <w:t xml:space="preserve">cost </w:t>
      </w:r>
      <w:r w:rsidR="007D2A6F">
        <w:t>information</w:t>
      </w:r>
      <w:r>
        <w:t xml:space="preserve"> to </w:t>
      </w:r>
      <w:r w:rsidR="00E514A6">
        <w:t>Lewisham</w:t>
      </w:r>
      <w:r w:rsidR="0052634E">
        <w:t>, from a total of 34</w:t>
      </w:r>
      <w:r w:rsidR="007D2A6F">
        <w:t xml:space="preserve"> organisations.</w:t>
      </w:r>
      <w:r w:rsidR="00B86835">
        <w:t xml:space="preserve"> </w:t>
      </w:r>
    </w:p>
    <w:p w:rsidR="004156EA" w:rsidRPr="004156EA" w:rsidRDefault="00FA1929" w:rsidP="004156EA">
      <w:pPr>
        <w:pStyle w:val="ListParagraph"/>
        <w:numPr>
          <w:ilvl w:val="0"/>
          <w:numId w:val="14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 xml:space="preserve">The </w:t>
      </w:r>
      <w:r w:rsidR="00BF26ED">
        <w:t xml:space="preserve">response rate represents </w:t>
      </w:r>
      <w:r w:rsidR="00FF0FF0" w:rsidRPr="00CD344C">
        <w:rPr>
          <w:b/>
        </w:rPr>
        <w:t>47</w:t>
      </w:r>
      <w:r w:rsidR="00BF26ED" w:rsidRPr="00CD344C">
        <w:rPr>
          <w:b/>
        </w:rPr>
        <w:t>%</w:t>
      </w:r>
      <w:r w:rsidR="00BF26ED">
        <w:t xml:space="preserve"> of all </w:t>
      </w:r>
      <w:r w:rsidR="004156EA">
        <w:t>commissioned care providers. This includes 3 Homecare Providers who</w:t>
      </w:r>
      <w:r w:rsidR="0060054A">
        <w:t xml:space="preserve"> provide</w:t>
      </w:r>
      <w:r w:rsidR="00FF0FF0">
        <w:t xml:space="preserve"> </w:t>
      </w:r>
      <w:r w:rsidR="00FF0FF0" w:rsidRPr="004156EA">
        <w:rPr>
          <w:b/>
        </w:rPr>
        <w:t>80</w:t>
      </w:r>
      <w:r w:rsidR="00BF26ED" w:rsidRPr="004156EA">
        <w:rPr>
          <w:b/>
        </w:rPr>
        <w:t>%</w:t>
      </w:r>
      <w:r w:rsidR="00BF26ED">
        <w:t xml:space="preserve"> of </w:t>
      </w:r>
      <w:r w:rsidR="004156EA">
        <w:t>all commissioned care.</w:t>
      </w:r>
    </w:p>
    <w:p w:rsidR="004156EA" w:rsidRPr="004156EA" w:rsidRDefault="004156EA" w:rsidP="004156EA">
      <w:pPr>
        <w:pStyle w:val="ListParagraph"/>
        <w:suppressAutoHyphens w:val="0"/>
        <w:autoSpaceDN/>
        <w:spacing w:line="259" w:lineRule="auto"/>
        <w:contextualSpacing/>
        <w:textAlignment w:val="auto"/>
        <w:rPr>
          <w:b/>
        </w:rPr>
      </w:pPr>
    </w:p>
    <w:p w:rsidR="007D2A6F" w:rsidRPr="004156EA" w:rsidRDefault="004156EA" w:rsidP="004156EA">
      <w:pPr>
        <w:suppressAutoHyphens w:val="0"/>
        <w:autoSpaceDN/>
        <w:spacing w:line="259" w:lineRule="auto"/>
        <w:ind w:left="360"/>
        <w:contextualSpacing/>
        <w:textAlignment w:val="auto"/>
        <w:rPr>
          <w:b/>
        </w:rPr>
      </w:pPr>
      <w:r w:rsidRPr="004156EA">
        <w:rPr>
          <w:b/>
        </w:rPr>
        <w:t xml:space="preserve"> </w:t>
      </w:r>
      <w:r w:rsidR="00823AEE" w:rsidRPr="004156EA">
        <w:rPr>
          <w:b/>
        </w:rPr>
        <w:t>Engagement with providers to promote completion of cost of care toolkits</w:t>
      </w:r>
    </w:p>
    <w:p w:rsidR="0069302B" w:rsidRPr="0069302B" w:rsidRDefault="00276767" w:rsidP="007226C5">
      <w:pPr>
        <w:pStyle w:val="ListParagraph"/>
        <w:numPr>
          <w:ilvl w:val="0"/>
          <w:numId w:val="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>LB</w:t>
      </w:r>
      <w:r w:rsidR="00823AEE" w:rsidRPr="00125F85">
        <w:t xml:space="preserve"> of </w:t>
      </w:r>
      <w:r w:rsidR="00E514A6">
        <w:t>Lewisham</w:t>
      </w:r>
      <w:r>
        <w:t xml:space="preserve"> Commissioning issued correspondence </w:t>
      </w:r>
      <w:r w:rsidRPr="00125F85">
        <w:t>to</w:t>
      </w:r>
      <w:r w:rsidR="00823AEE" w:rsidRPr="00125F85">
        <w:t xml:space="preserve"> all home care providers commissioned by </w:t>
      </w:r>
      <w:r w:rsidR="00E514A6">
        <w:t>Lewisham</w:t>
      </w:r>
      <w:r w:rsidR="00823AEE" w:rsidRPr="00125F85">
        <w:t xml:space="preserve"> inviting them to submit cost of care information by </w:t>
      </w:r>
      <w:r w:rsidR="000D6212">
        <w:t xml:space="preserve">the </w:t>
      </w:r>
      <w:r>
        <w:t>end of July,</w:t>
      </w:r>
      <w:r w:rsidRPr="00125F85">
        <w:t xml:space="preserve"> </w:t>
      </w:r>
      <w:r>
        <w:t>u</w:t>
      </w:r>
      <w:r w:rsidR="00823AEE" w:rsidRPr="00125F85">
        <w:t>sing the</w:t>
      </w:r>
      <w:r w:rsidR="0069302B">
        <w:t xml:space="preserve"> LGA cost of care toolkit.</w:t>
      </w:r>
    </w:p>
    <w:p w:rsidR="00804058" w:rsidRPr="009443CC" w:rsidRDefault="009443CC" w:rsidP="001F6469">
      <w:pPr>
        <w:pStyle w:val="ListParagraph"/>
        <w:numPr>
          <w:ilvl w:val="0"/>
          <w:numId w:val="2"/>
        </w:numPr>
        <w:suppressAutoHyphens w:val="0"/>
        <w:autoSpaceDN/>
        <w:spacing w:line="259" w:lineRule="auto"/>
        <w:contextualSpacing/>
        <w:textAlignment w:val="auto"/>
      </w:pPr>
      <w:r w:rsidRPr="009443CC">
        <w:t xml:space="preserve">LB Lewisham circulated guidance, information and event invitations relating to the national programme. This included signposting </w:t>
      </w:r>
      <w:r w:rsidR="000D6212">
        <w:t xml:space="preserve">to </w:t>
      </w:r>
      <w:r w:rsidRPr="009443CC">
        <w:t>the home care toolkit and associated guidance published on the Local Government Association website.</w:t>
      </w:r>
      <w:r w:rsidR="00804058">
        <w:t xml:space="preserve"> </w:t>
      </w:r>
    </w:p>
    <w:p w:rsidR="00403A65" w:rsidRPr="000D6212" w:rsidRDefault="000D6212" w:rsidP="000D6212">
      <w:pPr>
        <w:pStyle w:val="ListParagraph"/>
        <w:numPr>
          <w:ilvl w:val="0"/>
          <w:numId w:val="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lastRenderedPageBreak/>
        <w:t>W</w:t>
      </w:r>
      <w:r w:rsidR="00F767C6">
        <w:t>eekly</w:t>
      </w:r>
      <w:r w:rsidR="00804058">
        <w:t xml:space="preserve"> </w:t>
      </w:r>
      <w:r w:rsidR="004156EA">
        <w:t xml:space="preserve">homecare provider </w:t>
      </w:r>
      <w:r w:rsidR="00F767C6">
        <w:t>forums</w:t>
      </w:r>
      <w:r>
        <w:t xml:space="preserve"> were held</w:t>
      </w:r>
      <w:r w:rsidR="00F767C6">
        <w:t>, where the finance and commissioning leads discussed</w:t>
      </w:r>
      <w:r w:rsidR="00276767">
        <w:t xml:space="preserve"> with Home care providers details of </w:t>
      </w:r>
      <w:r w:rsidR="00823AEE">
        <w:t xml:space="preserve">the </w:t>
      </w:r>
      <w:r w:rsidR="00F767C6">
        <w:t>guidance,</w:t>
      </w:r>
      <w:r w:rsidR="00823AEE">
        <w:t xml:space="preserve"> toolkit format and answer</w:t>
      </w:r>
      <w:r w:rsidR="00F767C6">
        <w:t>ed</w:t>
      </w:r>
      <w:r w:rsidR="00823AEE">
        <w:t xml:space="preserve"> questions. </w:t>
      </w:r>
    </w:p>
    <w:p w:rsidR="00BA3A56" w:rsidRPr="00403A65" w:rsidRDefault="00BA3A56" w:rsidP="00403A65">
      <w:pPr>
        <w:pStyle w:val="ListParagraph"/>
        <w:numPr>
          <w:ilvl w:val="0"/>
          <w:numId w:val="2"/>
        </w:numPr>
        <w:suppressAutoHyphens w:val="0"/>
        <w:autoSpaceDN/>
        <w:spacing w:line="259" w:lineRule="auto"/>
        <w:contextualSpacing/>
        <w:textAlignment w:val="auto"/>
        <w:rPr>
          <w:b/>
        </w:rPr>
      </w:pPr>
      <w:r>
        <w:t xml:space="preserve">LB </w:t>
      </w:r>
      <w:r w:rsidR="00E514A6">
        <w:t>Lewisham</w:t>
      </w:r>
      <w:r>
        <w:t xml:space="preserve"> followed up directly with providers </w:t>
      </w:r>
      <w:r w:rsidR="000A31FB">
        <w:t>individually</w:t>
      </w:r>
      <w:r w:rsidR="000D6212">
        <w:t>,</w:t>
      </w:r>
      <w:r w:rsidR="000A31FB">
        <w:t xml:space="preserve"> </w:t>
      </w:r>
      <w:r>
        <w:t xml:space="preserve">via emails </w:t>
      </w:r>
      <w:r w:rsidR="00CE2DF7">
        <w:t>and phone calls</w:t>
      </w:r>
      <w:r w:rsidR="000D6212">
        <w:t>,</w:t>
      </w:r>
      <w:r>
        <w:t xml:space="preserve"> </w:t>
      </w:r>
      <w:r w:rsidR="000A31FB">
        <w:t xml:space="preserve">where providers did not submit </w:t>
      </w:r>
      <w:r w:rsidR="00B81B8E">
        <w:t xml:space="preserve">their toolkit by the </w:t>
      </w:r>
      <w:r w:rsidR="00ED0382">
        <w:t>specified deadlines</w:t>
      </w:r>
      <w:r w:rsidR="0030671D">
        <w:t>.</w:t>
      </w:r>
      <w:r w:rsidR="00ED0382">
        <w:t xml:space="preserve"> </w:t>
      </w:r>
    </w:p>
    <w:p w:rsidR="00823AEE" w:rsidRDefault="00823AEE" w:rsidP="0030671D">
      <w:pPr>
        <w:pStyle w:val="ListParagraph"/>
        <w:numPr>
          <w:ilvl w:val="0"/>
          <w:numId w:val="2"/>
        </w:numPr>
        <w:suppressAutoHyphens w:val="0"/>
        <w:autoSpaceDN/>
        <w:spacing w:after="0" w:line="259" w:lineRule="auto"/>
        <w:contextualSpacing/>
        <w:textAlignment w:val="auto"/>
        <w:rPr>
          <w:b/>
        </w:rPr>
      </w:pPr>
      <w:r w:rsidRPr="00CD0EDF">
        <w:t xml:space="preserve">LB </w:t>
      </w:r>
      <w:r w:rsidR="00E514A6">
        <w:t>Lewisham</w:t>
      </w:r>
      <w:r w:rsidRPr="00CD0EDF">
        <w:t xml:space="preserve"> extended the final</w:t>
      </w:r>
      <w:r w:rsidR="004F543D">
        <w:t xml:space="preserve"> toolkit submission</w:t>
      </w:r>
      <w:r w:rsidRPr="00CD0EDF">
        <w:t xml:space="preserve"> deadline </w:t>
      </w:r>
      <w:r w:rsidR="0030671D">
        <w:t>three times</w:t>
      </w:r>
      <w:r w:rsidR="004C71B2">
        <w:t xml:space="preserve"> </w:t>
      </w:r>
      <w:r w:rsidR="0030671D">
        <w:t>from end of July, to Mid-August and then finally end of August.</w:t>
      </w:r>
      <w:r w:rsidR="0030671D">
        <w:rPr>
          <w:b/>
        </w:rPr>
        <w:t xml:space="preserve"> </w:t>
      </w:r>
    </w:p>
    <w:p w:rsidR="0030671D" w:rsidRDefault="0030671D" w:rsidP="0030671D">
      <w:pPr>
        <w:pStyle w:val="ListParagraph"/>
        <w:suppressAutoHyphens w:val="0"/>
        <w:autoSpaceDN/>
        <w:spacing w:after="0" w:line="259" w:lineRule="auto"/>
        <w:contextualSpacing/>
        <w:textAlignment w:val="auto"/>
        <w:rPr>
          <w:b/>
        </w:rPr>
      </w:pPr>
    </w:p>
    <w:p w:rsidR="00823AEE" w:rsidRDefault="005B4277" w:rsidP="007226C5">
      <w:pPr>
        <w:suppressAutoHyphens w:val="0"/>
        <w:autoSpaceDN/>
        <w:spacing w:after="0" w:line="259" w:lineRule="auto"/>
        <w:contextualSpacing/>
        <w:textAlignment w:val="auto"/>
        <w:rPr>
          <w:b/>
        </w:rPr>
      </w:pPr>
      <w:r>
        <w:rPr>
          <w:b/>
        </w:rPr>
        <w:t>Quality assurance and provider queries</w:t>
      </w:r>
    </w:p>
    <w:p w:rsidR="00AE7B58" w:rsidRDefault="00804058" w:rsidP="00AE7B58">
      <w:pPr>
        <w:pStyle w:val="ListParagraph"/>
        <w:numPr>
          <w:ilvl w:val="0"/>
          <w:numId w:val="2"/>
        </w:numPr>
        <w:contextualSpacing/>
      </w:pPr>
      <w:r>
        <w:t>Following the deadline f</w:t>
      </w:r>
      <w:r w:rsidR="005B4277" w:rsidRPr="005B4277">
        <w:t xml:space="preserve">or </w:t>
      </w:r>
      <w:r w:rsidR="0030671D">
        <w:t>provider toolkit submissions, the finance lead with support from com</w:t>
      </w:r>
      <w:r w:rsidR="00F767C6">
        <w:t>missioning undertook a detailed</w:t>
      </w:r>
      <w:r w:rsidR="005B4277" w:rsidRPr="005B4277">
        <w:t xml:space="preserve"> quality assurance</w:t>
      </w:r>
      <w:r w:rsidR="00F767C6">
        <w:t xml:space="preserve"> review </w:t>
      </w:r>
      <w:r w:rsidR="00F767C6" w:rsidRPr="005B4277">
        <w:t>of</w:t>
      </w:r>
      <w:r w:rsidR="0030671D">
        <w:t xml:space="preserve"> all the </w:t>
      </w:r>
      <w:r w:rsidR="00F767C6">
        <w:t>submissions.</w:t>
      </w:r>
    </w:p>
    <w:p w:rsidR="00E50228" w:rsidRDefault="0004543D" w:rsidP="00BA08CF">
      <w:pPr>
        <w:pStyle w:val="ListParagraph"/>
        <w:numPr>
          <w:ilvl w:val="0"/>
          <w:numId w:val="2"/>
        </w:numPr>
        <w:spacing w:after="0"/>
        <w:contextualSpacing/>
      </w:pPr>
      <w:r>
        <w:t xml:space="preserve">Where specific cost lines diverged significantly from </w:t>
      </w:r>
      <w:r w:rsidR="00AE7B58">
        <w:t>expected levels and / or other submissions, providers</w:t>
      </w:r>
      <w:r w:rsidR="00E50228">
        <w:t xml:space="preserve"> were contacted to</w:t>
      </w:r>
      <w:r w:rsidR="00AE7B58">
        <w:t xml:space="preserve"> query this and invited to review and re-submit their toolkit information</w:t>
      </w:r>
      <w:r w:rsidR="00E50228">
        <w:t xml:space="preserve"> as appropriate. </w:t>
      </w:r>
    </w:p>
    <w:p w:rsidR="006B10C8" w:rsidRPr="005B4277" w:rsidRDefault="00E50228" w:rsidP="00BA08CF">
      <w:pPr>
        <w:pStyle w:val="ListParagraph"/>
        <w:numPr>
          <w:ilvl w:val="0"/>
          <w:numId w:val="2"/>
        </w:numPr>
        <w:spacing w:after="0"/>
        <w:contextualSpacing/>
      </w:pPr>
      <w:r>
        <w:t>Where errors was identified, providers were either written to or contacted by phone and requested to correct and resubmit.</w:t>
      </w:r>
    </w:p>
    <w:p w:rsidR="00823AEE" w:rsidRPr="00E50228" w:rsidRDefault="00E50228" w:rsidP="00222E38">
      <w:pPr>
        <w:pStyle w:val="ListParagraph"/>
        <w:numPr>
          <w:ilvl w:val="0"/>
          <w:numId w:val="2"/>
        </w:numPr>
        <w:suppressAutoHyphens w:val="0"/>
        <w:autoSpaceDN/>
        <w:spacing w:after="0" w:line="259" w:lineRule="auto"/>
        <w:contextualSpacing/>
        <w:textAlignment w:val="auto"/>
        <w:rPr>
          <w:b/>
        </w:rPr>
      </w:pPr>
      <w:r>
        <w:t>O</w:t>
      </w:r>
      <w:r w:rsidR="00C02379">
        <w:t xml:space="preserve">ne-to-one support </w:t>
      </w:r>
      <w:r w:rsidR="00E02843">
        <w:t>calls</w:t>
      </w:r>
      <w:r w:rsidR="00C02379">
        <w:t xml:space="preserve"> with </w:t>
      </w:r>
      <w:r w:rsidR="00E514A6">
        <w:t>Lewisham</w:t>
      </w:r>
      <w:r w:rsidR="00C02379">
        <w:t xml:space="preserve"> Finance</w:t>
      </w:r>
      <w:r>
        <w:t>, was also offered to providers</w:t>
      </w:r>
      <w:r w:rsidR="00C02379">
        <w:t xml:space="preserve"> to discuss and address quality assurance queries</w:t>
      </w:r>
      <w:r>
        <w:t>.</w:t>
      </w:r>
      <w:r w:rsidR="00C02379">
        <w:t xml:space="preserve"> </w:t>
      </w:r>
    </w:p>
    <w:p w:rsidR="00E50228" w:rsidRPr="00E50228" w:rsidRDefault="00E50228" w:rsidP="00E50228">
      <w:pPr>
        <w:suppressAutoHyphens w:val="0"/>
        <w:autoSpaceDN/>
        <w:spacing w:after="0" w:line="259" w:lineRule="auto"/>
        <w:contextualSpacing/>
        <w:textAlignment w:val="auto"/>
        <w:rPr>
          <w:b/>
        </w:rPr>
      </w:pPr>
    </w:p>
    <w:p w:rsidR="00823AEE" w:rsidRPr="00823AEE" w:rsidRDefault="00823AEE" w:rsidP="007226C5">
      <w:pPr>
        <w:suppressAutoHyphens w:val="0"/>
        <w:autoSpaceDN/>
        <w:spacing w:after="0" w:line="259" w:lineRule="auto"/>
        <w:contextualSpacing/>
        <w:textAlignment w:val="auto"/>
        <w:rPr>
          <w:b/>
        </w:rPr>
      </w:pPr>
      <w:r>
        <w:rPr>
          <w:b/>
        </w:rPr>
        <w:t xml:space="preserve">Provider engagement regarding Market Sustainability Plan and </w:t>
      </w:r>
      <w:r w:rsidR="00CD699E">
        <w:rPr>
          <w:b/>
        </w:rPr>
        <w:t>toolkit analysis</w:t>
      </w:r>
    </w:p>
    <w:p w:rsidR="00F767C6" w:rsidRDefault="00AA79FD" w:rsidP="007226C5">
      <w:pPr>
        <w:pStyle w:val="ListParagraph"/>
        <w:numPr>
          <w:ilvl w:val="0"/>
          <w:numId w:val="2"/>
        </w:numPr>
        <w:contextualSpacing/>
      </w:pPr>
      <w:r>
        <w:t xml:space="preserve">The </w:t>
      </w:r>
      <w:r w:rsidRPr="00C416E7">
        <w:t>Market</w:t>
      </w:r>
      <w:r w:rsidR="00B95204" w:rsidRPr="00C416E7">
        <w:t xml:space="preserve"> Sustainability Plan, </w:t>
      </w:r>
      <w:r>
        <w:t xml:space="preserve">was developed </w:t>
      </w:r>
      <w:r w:rsidR="00F767C6">
        <w:t xml:space="preserve">with </w:t>
      </w:r>
      <w:r w:rsidRPr="00C416E7">
        <w:t>support</w:t>
      </w:r>
      <w:r w:rsidR="00B95204" w:rsidRPr="005322CB">
        <w:t xml:space="preserve"> from </w:t>
      </w:r>
      <w:r>
        <w:t>the finance and</w:t>
      </w:r>
      <w:r w:rsidR="00585ACD" w:rsidRPr="005322CB">
        <w:t xml:space="preserve"> council performance team</w:t>
      </w:r>
      <w:r>
        <w:t>s</w:t>
      </w:r>
      <w:r w:rsidR="00F767C6">
        <w:t>.</w:t>
      </w:r>
    </w:p>
    <w:p w:rsidR="00B95204" w:rsidRPr="005322CB" w:rsidRDefault="000D6212" w:rsidP="007226C5">
      <w:pPr>
        <w:pStyle w:val="ListParagraph"/>
        <w:numPr>
          <w:ilvl w:val="0"/>
          <w:numId w:val="2"/>
        </w:numPr>
        <w:contextualSpacing/>
      </w:pPr>
      <w:r>
        <w:t xml:space="preserve">The </w:t>
      </w:r>
      <w:r w:rsidRPr="005322CB">
        <w:t xml:space="preserve">latest data on population change and the care population in </w:t>
      </w:r>
      <w:r>
        <w:t>Lewisham was i</w:t>
      </w:r>
      <w:r w:rsidR="00F767C6">
        <w:t>dentified</w:t>
      </w:r>
      <w:r w:rsidR="00585ACD" w:rsidRPr="005322CB">
        <w:t xml:space="preserve"> and analyse</w:t>
      </w:r>
      <w:r w:rsidR="007E736F">
        <w:t>d</w:t>
      </w:r>
      <w:r w:rsidR="00585ACD" w:rsidRPr="005322CB">
        <w:t xml:space="preserve"> </w:t>
      </w:r>
      <w:r>
        <w:t xml:space="preserve"> </w:t>
      </w:r>
    </w:p>
    <w:p w:rsidR="00F767C6" w:rsidRDefault="000D6212" w:rsidP="006378A4">
      <w:pPr>
        <w:pStyle w:val="ListParagraph"/>
        <w:numPr>
          <w:ilvl w:val="0"/>
          <w:numId w:val="2"/>
        </w:numPr>
        <w:contextualSpacing/>
      </w:pPr>
      <w:r>
        <w:t>The w</w:t>
      </w:r>
      <w:r w:rsidR="00AA79FD">
        <w:t xml:space="preserve">eekly Homecare provider forum informed commissioners of the </w:t>
      </w:r>
      <w:r w:rsidR="00BF394D" w:rsidRPr="005322CB">
        <w:t>market pr</w:t>
      </w:r>
      <w:r w:rsidR="00AA79FD">
        <w:t xml:space="preserve">essures from </w:t>
      </w:r>
      <w:r w:rsidR="00F767C6">
        <w:t xml:space="preserve">the </w:t>
      </w:r>
      <w:r w:rsidR="00AA79FD">
        <w:t>care</w:t>
      </w:r>
      <w:r w:rsidR="00BF394D" w:rsidRPr="005322CB">
        <w:t xml:space="preserve"> provider perspective</w:t>
      </w:r>
      <w:r w:rsidR="00AA79FD">
        <w:t>.</w:t>
      </w:r>
      <w:r w:rsidR="00BF394D" w:rsidRPr="005322CB">
        <w:t xml:space="preserve"> </w:t>
      </w:r>
      <w:r w:rsidR="00AA79FD">
        <w:t xml:space="preserve">The 2 key challenges highlighted by </w:t>
      </w:r>
      <w:r w:rsidR="00B30367" w:rsidRPr="005322CB">
        <w:t xml:space="preserve">home care providers on market sustainability </w:t>
      </w:r>
      <w:r w:rsidR="00AA79FD">
        <w:t>are,</w:t>
      </w:r>
    </w:p>
    <w:p w:rsidR="00F767C6" w:rsidRDefault="00AA79FD" w:rsidP="00F767C6">
      <w:pPr>
        <w:pStyle w:val="ListParagraph"/>
        <w:numPr>
          <w:ilvl w:val="0"/>
          <w:numId w:val="17"/>
        </w:numPr>
        <w:contextualSpacing/>
      </w:pPr>
      <w:r>
        <w:t xml:space="preserve">Workforces challenges – Recruitment &amp; Retention and </w:t>
      </w:r>
    </w:p>
    <w:p w:rsidR="00AA79FD" w:rsidRDefault="00AA79FD" w:rsidP="00F767C6">
      <w:pPr>
        <w:pStyle w:val="ListParagraph"/>
        <w:numPr>
          <w:ilvl w:val="0"/>
          <w:numId w:val="17"/>
        </w:numPr>
        <w:contextualSpacing/>
      </w:pPr>
      <w:r>
        <w:t>Rate of pay.</w:t>
      </w:r>
    </w:p>
    <w:p w:rsidR="007D2A6F" w:rsidRDefault="007D2A6F" w:rsidP="007D2A6F">
      <w:pPr>
        <w:rPr>
          <w:b/>
          <w:u w:val="single"/>
        </w:rPr>
      </w:pPr>
    </w:p>
    <w:p w:rsidR="001A04A4" w:rsidRPr="00823AEE" w:rsidRDefault="001A04A4" w:rsidP="001A04A4">
      <w:pPr>
        <w:rPr>
          <w:u w:val="single"/>
        </w:rPr>
      </w:pPr>
      <w:r w:rsidRPr="00823AEE">
        <w:rPr>
          <w:b/>
          <w:bCs/>
          <w:u w:val="single"/>
        </w:rPr>
        <w:t>Part Two: Approach to the cost of care estimates (Annex A, section 3)</w:t>
      </w:r>
    </w:p>
    <w:p w:rsidR="00B47FD1" w:rsidRDefault="00E514A6" w:rsidP="001A04A4">
      <w:r>
        <w:t>Lewisham</w:t>
      </w:r>
      <w:r w:rsidR="001A04A4">
        <w:t xml:space="preserve"> engaged </w:t>
      </w:r>
      <w:r w:rsidR="006F180C">
        <w:t>widely</w:t>
      </w:r>
      <w:r w:rsidR="001A04A4">
        <w:t xml:space="preserve"> with home care providers to maximise the rate of response to the exercise.</w:t>
      </w:r>
      <w:r w:rsidR="00B47FD1">
        <w:t xml:space="preserve"> </w:t>
      </w:r>
      <w:r w:rsidR="001A04A4">
        <w:t xml:space="preserve">However, the quality of the </w:t>
      </w:r>
      <w:r w:rsidR="00470A76">
        <w:t xml:space="preserve">output from this exercise </w:t>
      </w:r>
      <w:r w:rsidR="001A04A4">
        <w:t>is limited to a significant extent by several key issues.</w:t>
      </w:r>
    </w:p>
    <w:p w:rsidR="001A04A4" w:rsidRDefault="001A04A4" w:rsidP="001A04A4">
      <w:pPr>
        <w:rPr>
          <w:b/>
          <w:bCs/>
        </w:rPr>
      </w:pPr>
      <w:r>
        <w:t>These limitations include the following:</w:t>
      </w:r>
    </w:p>
    <w:p w:rsidR="00470A76" w:rsidRDefault="00470A76" w:rsidP="6AFB4413">
      <w:pPr>
        <w:pStyle w:val="ListParagraph"/>
        <w:numPr>
          <w:ilvl w:val="0"/>
          <w:numId w:val="4"/>
        </w:numPr>
        <w:spacing w:line="259" w:lineRule="auto"/>
        <w:contextualSpacing/>
      </w:pPr>
      <w:r>
        <w:t xml:space="preserve">The use of statistical median: </w:t>
      </w:r>
      <w:r w:rsidR="000D6212">
        <w:t>Using a m</w:t>
      </w:r>
      <w:r>
        <w:t xml:space="preserve">edian calculation for </w:t>
      </w:r>
      <w:r w:rsidR="000D6212">
        <w:t xml:space="preserve">a </w:t>
      </w:r>
      <w:r>
        <w:t xml:space="preserve">small dataset is biased and does not reflect </w:t>
      </w:r>
      <w:r w:rsidR="00F767C6">
        <w:t>reasonable market</w:t>
      </w:r>
      <w:r>
        <w:t xml:space="preserve"> prices. </w:t>
      </w:r>
      <w:r w:rsidR="00F767C6">
        <w:t xml:space="preserve">The output is extremely sensitive to small data errors. </w:t>
      </w:r>
    </w:p>
    <w:p w:rsidR="001A04A4" w:rsidRDefault="001A04A4" w:rsidP="005F2FBB">
      <w:pPr>
        <w:pStyle w:val="ListParagraph"/>
        <w:numPr>
          <w:ilvl w:val="0"/>
          <w:numId w:val="4"/>
        </w:numPr>
        <w:spacing w:line="259" w:lineRule="auto"/>
        <w:contextualSpacing/>
      </w:pPr>
      <w:r>
        <w:t xml:space="preserve">The method does not give weighting to </w:t>
      </w:r>
      <w:r w:rsidR="000D6212">
        <w:t xml:space="preserve">variety of </w:t>
      </w:r>
      <w:r w:rsidR="000B7184">
        <w:t>size of operations of  homecare providers. There was no clear distinction between national/regional operators. The size and nature of the care provider does impact the cost structure and its allocation  across its operation</w:t>
      </w:r>
      <w:r w:rsidR="00F767C6">
        <w:t>al sites</w:t>
      </w:r>
      <w:r w:rsidR="000B7184">
        <w:t xml:space="preserve">. </w:t>
      </w:r>
    </w:p>
    <w:p w:rsidR="000B7184" w:rsidRDefault="00F767C6" w:rsidP="005F2FBB">
      <w:pPr>
        <w:pStyle w:val="ListParagraph"/>
        <w:numPr>
          <w:ilvl w:val="0"/>
          <w:numId w:val="4"/>
        </w:numPr>
        <w:spacing w:line="259" w:lineRule="auto"/>
        <w:contextualSpacing/>
      </w:pPr>
      <w:r>
        <w:lastRenderedPageBreak/>
        <w:t xml:space="preserve">In addition </w:t>
      </w:r>
      <w:r w:rsidR="000D6212">
        <w:t xml:space="preserve">there was </w:t>
      </w:r>
      <w:r>
        <w:t>no segmentation for s</w:t>
      </w:r>
      <w:r w:rsidR="000B7184">
        <w:t xml:space="preserve">pecialist </w:t>
      </w:r>
      <w:r>
        <w:t>home c</w:t>
      </w:r>
      <w:r w:rsidR="000B7184">
        <w:t>are providers</w:t>
      </w:r>
      <w:r w:rsidR="000D6212">
        <w:t xml:space="preserve"> where</w:t>
      </w:r>
      <w:r>
        <w:t xml:space="preserve"> these specialist services tend to </w:t>
      </w:r>
      <w:r w:rsidR="000B7184">
        <w:t xml:space="preserve">have </w:t>
      </w:r>
      <w:r w:rsidR="000D6212">
        <w:t xml:space="preserve">a </w:t>
      </w:r>
      <w:r w:rsidR="00804058">
        <w:t>disproportionately</w:t>
      </w:r>
      <w:r w:rsidR="000B7184">
        <w:t xml:space="preserve"> higher staffing cost</w:t>
      </w:r>
      <w:r>
        <w:t>.</w:t>
      </w:r>
      <w:r w:rsidR="000B7184">
        <w:t xml:space="preserve"> </w:t>
      </w:r>
    </w:p>
    <w:p w:rsidR="00676403" w:rsidRDefault="007114DA" w:rsidP="00676403">
      <w:pPr>
        <w:pStyle w:val="ListParagraph"/>
        <w:numPr>
          <w:ilvl w:val="0"/>
          <w:numId w:val="4"/>
        </w:numPr>
        <w:spacing w:line="259" w:lineRule="auto"/>
        <w:contextualSpacing/>
      </w:pPr>
      <w:r>
        <w:t>I</w:t>
      </w:r>
      <w:r w:rsidR="001A04A4">
        <w:t xml:space="preserve">n the absence of clear guidance from the Department on appropriate </w:t>
      </w:r>
      <w:r w:rsidR="00676403">
        <w:t xml:space="preserve">benchmarks for these cost lines, care providers submitted varied cost items and values. Due </w:t>
      </w:r>
      <w:r w:rsidR="000D6212">
        <w:t xml:space="preserve">to </w:t>
      </w:r>
      <w:r w:rsidR="00676403">
        <w:t>time</w:t>
      </w:r>
      <w:r>
        <w:t xml:space="preserve"> constraints,</w:t>
      </w:r>
      <w:r w:rsidR="001A04A4">
        <w:t xml:space="preserve"> </w:t>
      </w:r>
      <w:r w:rsidR="00E514A6">
        <w:t>Lewisham</w:t>
      </w:r>
      <w:r w:rsidR="001A04A4">
        <w:t xml:space="preserve"> </w:t>
      </w:r>
      <w:r>
        <w:t xml:space="preserve">did not amend the care provider submission. </w:t>
      </w:r>
    </w:p>
    <w:p w:rsidR="00777108" w:rsidRDefault="00676403" w:rsidP="00237B50">
      <w:pPr>
        <w:pStyle w:val="ListParagraph"/>
        <w:numPr>
          <w:ilvl w:val="0"/>
          <w:numId w:val="4"/>
        </w:numPr>
        <w:suppressAutoHyphens w:val="0"/>
        <w:autoSpaceDN/>
        <w:spacing w:line="259" w:lineRule="auto"/>
        <w:contextualSpacing/>
        <w:textAlignment w:val="auto"/>
        <w:rPr>
          <w:b/>
          <w:bCs/>
        </w:rPr>
      </w:pPr>
      <w:r>
        <w:t>Lewisham collaborated with c</w:t>
      </w:r>
      <w:r w:rsidR="007114DA">
        <w:t>are providers to calculate a local fair cost of care</w:t>
      </w:r>
      <w:r>
        <w:t xml:space="preserve"> </w:t>
      </w:r>
      <w:r w:rsidR="002D34BA">
        <w:t>rate,</w:t>
      </w:r>
      <w:r>
        <w:t xml:space="preserve"> using the UK HCA guideline as benchmark</w:t>
      </w:r>
      <w:bookmarkStart w:id="1" w:name="_GoBack"/>
      <w:bookmarkEnd w:id="1"/>
      <w:r w:rsidR="007114DA">
        <w:t xml:space="preserve">. </w:t>
      </w:r>
    </w:p>
    <w:p w:rsidR="00777108" w:rsidRDefault="00777108" w:rsidP="00777108">
      <w:pPr>
        <w:pStyle w:val="ListParagraph"/>
        <w:suppressAutoHyphens w:val="0"/>
        <w:autoSpaceDN/>
        <w:spacing w:line="259" w:lineRule="auto"/>
        <w:contextualSpacing/>
        <w:textAlignment w:val="auto"/>
        <w:rPr>
          <w:b/>
          <w:bCs/>
        </w:rPr>
      </w:pPr>
    </w:p>
    <w:p w:rsidR="000A49E9" w:rsidRPr="00777108" w:rsidRDefault="000A49E9" w:rsidP="00777108">
      <w:pPr>
        <w:pStyle w:val="ListParagraph"/>
        <w:suppressAutoHyphens w:val="0"/>
        <w:autoSpaceDN/>
        <w:spacing w:line="259" w:lineRule="auto"/>
        <w:contextualSpacing/>
        <w:textAlignment w:val="auto"/>
        <w:rPr>
          <w:b/>
          <w:bCs/>
        </w:rPr>
      </w:pPr>
      <w:r w:rsidRPr="00777108">
        <w:rPr>
          <w:b/>
          <w:bCs/>
        </w:rPr>
        <w:t xml:space="preserve">Approach to the analysis </w:t>
      </w:r>
      <w:r w:rsidR="00E27F3F" w:rsidRPr="00777108">
        <w:rPr>
          <w:b/>
          <w:bCs/>
        </w:rPr>
        <w:t>of the home care toolkit submissions</w:t>
      </w:r>
    </w:p>
    <w:p w:rsidR="3D42CF97" w:rsidRPr="00E27F3F" w:rsidRDefault="00777108" w:rsidP="3EA7061D">
      <w:pPr>
        <w:pStyle w:val="ListParagraph"/>
        <w:numPr>
          <w:ilvl w:val="0"/>
          <w:numId w:val="3"/>
        </w:numPr>
      </w:pPr>
      <w:r>
        <w:rPr>
          <w:rFonts w:eastAsia="Arial"/>
        </w:rPr>
        <w:t>A</w:t>
      </w:r>
      <w:r w:rsidR="3D42CF97" w:rsidRPr="419C7D84">
        <w:rPr>
          <w:rFonts w:eastAsia="Arial"/>
        </w:rPr>
        <w:t xml:space="preserve">fter </w:t>
      </w:r>
      <w:r>
        <w:rPr>
          <w:rFonts w:eastAsia="Arial"/>
        </w:rPr>
        <w:t xml:space="preserve">all </w:t>
      </w:r>
      <w:r w:rsidR="001F7551" w:rsidRPr="419C7D84">
        <w:rPr>
          <w:rFonts w:eastAsia="Arial"/>
        </w:rPr>
        <w:t xml:space="preserve"> </w:t>
      </w:r>
      <w:r w:rsidR="77E6BDC9" w:rsidRPr="419C7D84">
        <w:rPr>
          <w:rFonts w:eastAsia="Arial"/>
        </w:rPr>
        <w:t>required adjustments had been made by providers</w:t>
      </w:r>
      <w:r w:rsidR="007411CF" w:rsidRPr="419C7D84">
        <w:rPr>
          <w:rFonts w:eastAsia="Arial"/>
        </w:rPr>
        <w:t xml:space="preserve"> </w:t>
      </w:r>
      <w:r w:rsidR="3D42CF97" w:rsidRPr="419C7D84">
        <w:rPr>
          <w:rFonts w:eastAsia="Arial"/>
        </w:rPr>
        <w:t>and with reference to available guidance and benchmarking information</w:t>
      </w:r>
      <w:r w:rsidR="00595CFC">
        <w:rPr>
          <w:rFonts w:eastAsia="Arial"/>
        </w:rPr>
        <w:t xml:space="preserve">, </w:t>
      </w:r>
      <w:r>
        <w:rPr>
          <w:rFonts w:eastAsia="Arial"/>
        </w:rPr>
        <w:t>we ensured</w:t>
      </w:r>
    </w:p>
    <w:p w:rsidR="3D42CF97" w:rsidRPr="00E27F3F" w:rsidRDefault="00777108" w:rsidP="00E27F3F">
      <w:pPr>
        <w:pStyle w:val="ListParagraph"/>
        <w:numPr>
          <w:ilvl w:val="1"/>
          <w:numId w:val="3"/>
        </w:numPr>
        <w:spacing w:after="0" w:line="257" w:lineRule="auto"/>
      </w:pPr>
      <w:r>
        <w:t xml:space="preserve">A </w:t>
      </w:r>
      <w:r w:rsidR="3D42CF97" w:rsidRPr="00E27F3F">
        <w:t>degree of consistency to cost lines where providers submitted costs values across a wide range such as for travel and return on operations.</w:t>
      </w:r>
    </w:p>
    <w:p w:rsidR="3D42CF97" w:rsidRPr="00E27F3F" w:rsidRDefault="3D42CF97" w:rsidP="00E27F3F">
      <w:pPr>
        <w:pStyle w:val="ListParagraph"/>
        <w:numPr>
          <w:ilvl w:val="1"/>
          <w:numId w:val="3"/>
        </w:numPr>
        <w:spacing w:after="0" w:line="257" w:lineRule="auto"/>
      </w:pPr>
      <w:r w:rsidRPr="00E27F3F">
        <w:t>that the median rates identified are accurate and sustainable</w:t>
      </w:r>
    </w:p>
    <w:p w:rsidR="3D42CF97" w:rsidRPr="00E27F3F" w:rsidRDefault="00E27F3F" w:rsidP="00E27F3F">
      <w:pPr>
        <w:pStyle w:val="ListParagraph"/>
        <w:numPr>
          <w:ilvl w:val="1"/>
          <w:numId w:val="3"/>
        </w:numPr>
        <w:spacing w:after="0" w:line="257" w:lineRule="auto"/>
      </w:pPr>
      <w:r>
        <w:t>U</w:t>
      </w:r>
      <w:r w:rsidR="3D42CF97" w:rsidRPr="00E27F3F">
        <w:t>nderstand</w:t>
      </w:r>
      <w:r w:rsidR="00777108">
        <w:t xml:space="preserve">ing of </w:t>
      </w:r>
      <w:r w:rsidR="00777108" w:rsidRPr="00E27F3F">
        <w:t>the</w:t>
      </w:r>
      <w:r w:rsidR="3D42CF97" w:rsidRPr="00E27F3F">
        <w:t xml:space="preserve"> risks and cost impact of adopting </w:t>
      </w:r>
      <w:r w:rsidR="00777108">
        <w:t xml:space="preserve">the </w:t>
      </w:r>
      <w:r w:rsidR="00777108" w:rsidRPr="00E27F3F">
        <w:t>median</w:t>
      </w:r>
      <w:r w:rsidR="3D42CF97" w:rsidRPr="00E27F3F">
        <w:t xml:space="preserve"> rates.  </w:t>
      </w:r>
    </w:p>
    <w:p w:rsidR="007C3F05" w:rsidRPr="00476BFE" w:rsidRDefault="00334233" w:rsidP="00334233">
      <w:pPr>
        <w:pStyle w:val="ListParagraph"/>
        <w:numPr>
          <w:ilvl w:val="0"/>
          <w:numId w:val="6"/>
        </w:numPr>
        <w:spacing w:before="240" w:line="250" w:lineRule="auto"/>
      </w:pPr>
      <w:r w:rsidRPr="00334233">
        <w:rPr>
          <w:rFonts w:eastAsia="Arial"/>
        </w:rPr>
        <w:t>Lewisham applied a consistent rat</w:t>
      </w:r>
      <w:r>
        <w:rPr>
          <w:rFonts w:eastAsia="Arial"/>
        </w:rPr>
        <w:t>e of 3% for ROO</w:t>
      </w:r>
      <w:r w:rsidR="00476BFE">
        <w:rPr>
          <w:rFonts w:eastAsia="Arial"/>
        </w:rPr>
        <w:t xml:space="preserve">, </w:t>
      </w:r>
      <w:r w:rsidR="00476BFE" w:rsidRPr="00334233">
        <w:rPr>
          <w:rFonts w:eastAsia="Arial"/>
        </w:rPr>
        <w:t>based</w:t>
      </w:r>
      <w:r w:rsidRPr="00334233">
        <w:rPr>
          <w:rFonts w:eastAsia="Arial"/>
        </w:rPr>
        <w:t xml:space="preserve"> on the minimum surplus profit level </w:t>
      </w:r>
      <w:r>
        <w:rPr>
          <w:rFonts w:eastAsia="Arial"/>
        </w:rPr>
        <w:t xml:space="preserve">recommended by the </w:t>
      </w:r>
      <w:r w:rsidRPr="00334233">
        <w:rPr>
          <w:rFonts w:eastAsia="Arial"/>
        </w:rPr>
        <w:t xml:space="preserve">United Kingdom Home Care Association (UKHCA) in their ‘Minimum price for home care’ guidance for 2022-23. </w:t>
      </w:r>
    </w:p>
    <w:p w:rsidR="0085246F" w:rsidRPr="00E27F3F" w:rsidRDefault="0085246F" w:rsidP="00777108">
      <w:pPr>
        <w:pStyle w:val="ListParagraph"/>
        <w:spacing w:line="250" w:lineRule="auto"/>
      </w:pPr>
      <w:r w:rsidRPr="00E27F3F">
        <w:rPr>
          <w:rFonts w:eastAsia="Arial"/>
        </w:rPr>
        <w:t>The table below show</w:t>
      </w:r>
      <w:r w:rsidR="00867A8D" w:rsidRPr="00E27F3F">
        <w:rPr>
          <w:rFonts w:eastAsia="Arial"/>
        </w:rPr>
        <w:t xml:space="preserve">s the count </w:t>
      </w:r>
      <w:r w:rsidR="00867A8D" w:rsidRPr="00E27F3F">
        <w:t xml:space="preserve">of observations, lower quartile, median and upper quartile of all items in </w:t>
      </w:r>
      <w:r w:rsidR="00867A8D" w:rsidRPr="00476BFE">
        <w:rPr>
          <w:b/>
        </w:rPr>
        <w:t>Annex A, Section 3</w:t>
      </w:r>
      <w:r w:rsidR="411B4E71" w:rsidRPr="00476BFE">
        <w:rPr>
          <w:b/>
        </w:rPr>
        <w:t>:</w:t>
      </w:r>
    </w:p>
    <w:tbl>
      <w:tblPr>
        <w:tblW w:w="8328" w:type="dxa"/>
        <w:tblInd w:w="699" w:type="dxa"/>
        <w:tblLayout w:type="fixed"/>
        <w:tblLook w:val="04A0" w:firstRow="1" w:lastRow="0" w:firstColumn="1" w:lastColumn="0" w:noHBand="0" w:noVBand="1"/>
      </w:tblPr>
      <w:tblGrid>
        <w:gridCol w:w="2977"/>
        <w:gridCol w:w="1756"/>
        <w:gridCol w:w="1171"/>
        <w:gridCol w:w="1184"/>
        <w:gridCol w:w="1240"/>
      </w:tblGrid>
      <w:tr w:rsidR="6F551FFC" w:rsidRPr="00E27F3F" w:rsidTr="00125EC9">
        <w:trPr>
          <w:trHeight w:val="8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6F551FFC" w:rsidRPr="00E97A4F" w:rsidRDefault="009C76B1" w:rsidP="6F551FFC">
            <w:pPr>
              <w:rPr>
                <w:b/>
                <w:bCs/>
                <w:color w:val="000000" w:themeColor="text1"/>
              </w:rPr>
            </w:pPr>
            <w:r w:rsidRPr="00E97A4F">
              <w:rPr>
                <w:b/>
                <w:bCs/>
                <w:color w:val="000000" w:themeColor="text1"/>
              </w:rPr>
              <w:t>Ca</w:t>
            </w:r>
            <w:r w:rsidR="00E97A4F" w:rsidRPr="00E97A4F">
              <w:rPr>
                <w:b/>
                <w:bCs/>
                <w:color w:val="000000" w:themeColor="text1"/>
              </w:rPr>
              <w:t>re cost type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6F551FFC" w:rsidRPr="00E97A4F" w:rsidRDefault="000D76EF" w:rsidP="6F551FFC">
            <w:pPr>
              <w:rPr>
                <w:b/>
                <w:bCs/>
                <w:color w:val="000000" w:themeColor="text1"/>
              </w:rPr>
            </w:pPr>
            <w:r w:rsidRPr="00E97A4F">
              <w:rPr>
                <w:b/>
                <w:bCs/>
                <w:color w:val="000000" w:themeColor="text1"/>
              </w:rPr>
              <w:t>Count of observations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6F551FFC" w:rsidRPr="00E97A4F" w:rsidRDefault="000D76EF" w:rsidP="6F551FFC">
            <w:pPr>
              <w:rPr>
                <w:b/>
                <w:bCs/>
                <w:color w:val="000000" w:themeColor="text1"/>
              </w:rPr>
            </w:pPr>
            <w:r w:rsidRPr="00E97A4F">
              <w:rPr>
                <w:b/>
                <w:bCs/>
                <w:color w:val="000000" w:themeColor="text1"/>
              </w:rPr>
              <w:t>Lower q</w:t>
            </w:r>
            <w:r w:rsidR="009C76B1" w:rsidRPr="00E97A4F">
              <w:rPr>
                <w:b/>
                <w:bCs/>
                <w:color w:val="000000" w:themeColor="text1"/>
              </w:rPr>
              <w:t>uartile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6F551FFC" w:rsidRPr="00E97A4F" w:rsidRDefault="009C76B1" w:rsidP="6F551FFC">
            <w:pPr>
              <w:rPr>
                <w:b/>
                <w:bCs/>
                <w:color w:val="000000" w:themeColor="text1"/>
              </w:rPr>
            </w:pPr>
            <w:r w:rsidRPr="00E97A4F">
              <w:rPr>
                <w:b/>
                <w:bCs/>
                <w:color w:val="000000" w:themeColor="text1"/>
              </w:rPr>
              <w:t>Median quartile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</w:tcPr>
          <w:p w:rsidR="6F551FFC" w:rsidRPr="00E97A4F" w:rsidRDefault="009C76B1" w:rsidP="6F551FFC">
            <w:pPr>
              <w:rPr>
                <w:b/>
                <w:bCs/>
                <w:color w:val="000000" w:themeColor="text1"/>
              </w:rPr>
            </w:pPr>
            <w:r w:rsidRPr="00E97A4F">
              <w:rPr>
                <w:b/>
                <w:bCs/>
                <w:color w:val="000000" w:themeColor="text1"/>
              </w:rPr>
              <w:t>Upper quartile</w:t>
            </w:r>
          </w:p>
        </w:tc>
      </w:tr>
      <w:tr w:rsidR="004B7134" w:rsidRPr="00E27F3F" w:rsidTr="00125EC9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E27F3F">
              <w:rPr>
                <w:color w:val="000000" w:themeColor="text1"/>
              </w:rPr>
              <w:t xml:space="preserve">Care worker costs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pPr>
              <w:jc w:val="center"/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>£14.68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 xml:space="preserve"> 18.64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7134" w:rsidRPr="00E27F3F" w:rsidRDefault="004B7134" w:rsidP="004B7134">
            <w:r w:rsidRPr="00B742AB">
              <w:t>£21.36</w:t>
            </w:r>
          </w:p>
        </w:tc>
      </w:tr>
      <w:tr w:rsidR="004B7134" w:rsidRPr="00E27F3F" w:rsidTr="00510BE8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E27F3F">
              <w:rPr>
                <w:color w:val="000000" w:themeColor="text1"/>
              </w:rPr>
              <w:t xml:space="preserve">Business Costs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pPr>
              <w:jc w:val="center"/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>£3.69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 xml:space="preserve"> 3.83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B7134" w:rsidRPr="00E27F3F" w:rsidRDefault="004B7134" w:rsidP="004B7134">
            <w:r w:rsidRPr="00B742AB">
              <w:t>£8.71</w:t>
            </w:r>
          </w:p>
        </w:tc>
      </w:tr>
      <w:tr w:rsidR="004B7134" w:rsidRPr="00E27F3F" w:rsidTr="00510BE8">
        <w:trPr>
          <w:trHeight w:val="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E27F3F">
              <w:rPr>
                <w:color w:val="000000" w:themeColor="text1"/>
              </w:rPr>
              <w:t xml:space="preserve">Total </w:t>
            </w:r>
            <w:r>
              <w:rPr>
                <w:color w:val="000000" w:themeColor="text1"/>
              </w:rPr>
              <w:t>R</w:t>
            </w:r>
            <w:r w:rsidRPr="00E27F3F">
              <w:rPr>
                <w:color w:val="000000" w:themeColor="text1"/>
              </w:rPr>
              <w:t xml:space="preserve">eturn on capital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pPr>
              <w:jc w:val="center"/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>£0.10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 xml:space="preserve"> 0.67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34" w:rsidRPr="00E27F3F" w:rsidRDefault="004B7134" w:rsidP="004B7134">
            <w:r w:rsidRPr="00B742AB">
              <w:t>£1.05</w:t>
            </w:r>
          </w:p>
        </w:tc>
      </w:tr>
    </w:tbl>
    <w:p w:rsidR="00B63C57" w:rsidRPr="00E27F3F" w:rsidRDefault="00B63C57" w:rsidP="00B63C57"/>
    <w:p w:rsidR="001F6469" w:rsidRDefault="00476BFE" w:rsidP="001F6469">
      <w:pPr>
        <w:pStyle w:val="ListParagraph"/>
        <w:numPr>
          <w:ilvl w:val="0"/>
          <w:numId w:val="3"/>
        </w:numPr>
      </w:pPr>
      <w:r>
        <w:t xml:space="preserve">Lewisham </w:t>
      </w:r>
      <w:r w:rsidR="00836897">
        <w:t>is a signatory t</w:t>
      </w:r>
      <w:r>
        <w:t>o t</w:t>
      </w:r>
      <w:r w:rsidR="00777108">
        <w:t xml:space="preserve">he </w:t>
      </w:r>
      <w:r w:rsidR="00804058">
        <w:t>UNISON E</w:t>
      </w:r>
      <w:r w:rsidR="00777108">
        <w:t xml:space="preserve">thical </w:t>
      </w:r>
      <w:r w:rsidR="00804058">
        <w:t>C</w:t>
      </w:r>
      <w:r w:rsidR="00777108">
        <w:t xml:space="preserve">are </w:t>
      </w:r>
      <w:r w:rsidR="00804058">
        <w:t>C</w:t>
      </w:r>
      <w:r w:rsidR="00777108">
        <w:t>harter</w:t>
      </w:r>
      <w:r>
        <w:t xml:space="preserve"> and is committed to </w:t>
      </w:r>
      <w:r w:rsidR="00777108">
        <w:t xml:space="preserve">paying the London Living wage, </w:t>
      </w:r>
      <w:r w:rsidR="000D6212">
        <w:t>t</w:t>
      </w:r>
      <w:r w:rsidR="00777108">
        <w:t xml:space="preserve">ravel time and </w:t>
      </w:r>
      <w:r w:rsidR="000D6212">
        <w:t>m</w:t>
      </w:r>
      <w:r>
        <w:t>ileage to all care provider</w:t>
      </w:r>
      <w:r w:rsidR="00836897">
        <w:t xml:space="preserve">s. The new </w:t>
      </w:r>
      <w:r w:rsidR="00217B66">
        <w:t xml:space="preserve">fair cost of care </w:t>
      </w:r>
      <w:r w:rsidR="00836897">
        <w:t xml:space="preserve">rate </w:t>
      </w:r>
      <w:r w:rsidR="00804058">
        <w:t xml:space="preserve">is compliant with the UNISON Ethical Care Charter and </w:t>
      </w:r>
      <w:r w:rsidR="00836897">
        <w:t>will be paid to</w:t>
      </w:r>
      <w:r w:rsidR="00777108">
        <w:t xml:space="preserve"> providers from</w:t>
      </w:r>
      <w:r w:rsidR="00836897">
        <w:t xml:space="preserve"> </w:t>
      </w:r>
      <w:r w:rsidR="00804058">
        <w:t xml:space="preserve">01 September 2023 </w:t>
      </w:r>
      <w:r w:rsidR="00836897">
        <w:t>2023/24 financial year.</w:t>
      </w:r>
      <w:r w:rsidR="00217B66">
        <w:t xml:space="preserve"> </w:t>
      </w:r>
    </w:p>
    <w:p w:rsidR="00342206" w:rsidRDefault="008F006F" w:rsidP="001F6469">
      <w:pPr>
        <w:pStyle w:val="ListParagraph"/>
        <w:numPr>
          <w:ilvl w:val="0"/>
          <w:numId w:val="3"/>
        </w:numPr>
      </w:pPr>
      <w:r w:rsidRPr="00E27F3F">
        <w:t>The below shows the</w:t>
      </w:r>
      <w:r w:rsidR="00D00A8F" w:rsidRPr="00E27F3F">
        <w:t xml:space="preserve"> table in Annex A, Section 3</w:t>
      </w:r>
      <w:r w:rsidR="00AE66CE">
        <w:t xml:space="preserve"> </w:t>
      </w:r>
      <w:r w:rsidR="00921C17">
        <w:t>with</w:t>
      </w:r>
      <w:r w:rsidR="00777108">
        <w:t xml:space="preserve"> a figure</w:t>
      </w:r>
      <w:r w:rsidR="00836897">
        <w:t xml:space="preserve"> for the median for each commissioned care duration.</w:t>
      </w:r>
      <w:r w:rsidR="00342206">
        <w:t xml:space="preserve">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3520"/>
        <w:gridCol w:w="2700"/>
        <w:gridCol w:w="960"/>
        <w:gridCol w:w="960"/>
        <w:gridCol w:w="960"/>
        <w:gridCol w:w="960"/>
      </w:tblGrid>
      <w:tr w:rsidR="00F07DFD" w:rsidRPr="00FF69C4" w:rsidTr="00777108">
        <w:trPr>
          <w:trHeight w:val="1191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lastRenderedPageBreak/>
              <w:t>Cost of care exercise results - all cells should be £ per contact hour, MEDIANS.</w:t>
            </w:r>
          </w:p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t>18+ domiciliary care</w:t>
            </w:r>
          </w:p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t>15 mins visit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t>30 mins visit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t>45 mins visit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5" w:themeFillTint="66"/>
            <w:hideMark/>
          </w:tcPr>
          <w:p w:rsidR="0055392C" w:rsidRPr="00FF69C4" w:rsidRDefault="0055392C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</w:p>
          <w:p w:rsidR="00F07DFD" w:rsidRPr="00FF69C4" w:rsidRDefault="00F07DFD" w:rsidP="00F07DF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lang w:eastAsia="en-GB"/>
              </w:rPr>
            </w:pPr>
            <w:r w:rsidRPr="00FF69C4">
              <w:rPr>
                <w:rFonts w:eastAsia="Times New Roman"/>
                <w:b/>
                <w:bCs/>
                <w:lang w:eastAsia="en-GB"/>
              </w:rPr>
              <w:t>60 mins visit</w:t>
            </w:r>
          </w:p>
        </w:tc>
      </w:tr>
      <w:tr w:rsidR="00CB6EBD" w:rsidRPr="00FF69C4" w:rsidTr="00CB6EBD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F69C4">
              <w:rPr>
                <w:rFonts w:eastAsia="Times New Roman"/>
                <w:b/>
                <w:bCs/>
                <w:color w:val="000000"/>
                <w:lang w:eastAsia="en-GB"/>
              </w:rPr>
              <w:t>Total Care worker Costs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47FD1">
              <w:rPr>
                <w:rFonts w:eastAsia="Times New Roman"/>
                <w:b/>
                <w:bCs/>
                <w:color w:val="000000"/>
                <w:lang w:eastAsia="en-GB"/>
              </w:rPr>
              <w:t>£18.64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4.66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9.32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13.98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18.64 </w:t>
            </w:r>
          </w:p>
        </w:tc>
      </w:tr>
      <w:tr w:rsidR="00CB6EBD" w:rsidRPr="00FF69C4" w:rsidTr="00CB6EBD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F69C4">
              <w:rPr>
                <w:rFonts w:eastAsia="Times New Roman"/>
                <w:b/>
                <w:bCs/>
                <w:color w:val="000000"/>
                <w:lang w:eastAsia="en-GB"/>
              </w:rPr>
              <w:t>Total Business Costs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47FD1">
              <w:rPr>
                <w:rFonts w:eastAsia="Times New Roman"/>
                <w:b/>
                <w:bCs/>
                <w:color w:val="000000"/>
                <w:lang w:eastAsia="en-GB"/>
              </w:rPr>
              <w:t>£3.83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0.96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1.92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2.87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3.83 </w:t>
            </w:r>
          </w:p>
        </w:tc>
      </w:tr>
      <w:tr w:rsidR="00CB6EBD" w:rsidRPr="00FF69C4" w:rsidTr="00CB6EBD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F69C4">
              <w:rPr>
                <w:rFonts w:eastAsia="Times New Roman"/>
                <w:b/>
                <w:bCs/>
                <w:color w:val="000000"/>
                <w:lang w:eastAsia="en-GB"/>
              </w:rPr>
              <w:t>Total Return on Operations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B47FD1">
              <w:rPr>
                <w:rFonts w:eastAsia="Times New Roman"/>
                <w:b/>
                <w:bCs/>
                <w:color w:val="000000"/>
                <w:lang w:eastAsia="en-GB"/>
              </w:rPr>
              <w:t>£0.67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0.17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0.34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0.50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66356A">
              <w:t xml:space="preserve"> 0.67 </w:t>
            </w:r>
          </w:p>
        </w:tc>
      </w:tr>
      <w:tr w:rsidR="00CB6EBD" w:rsidRPr="00FF69C4" w:rsidTr="00CB6EBD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F69C4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CB6EBD" w:rsidRPr="00FF69C4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£23.14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CB6EBD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CB6EBD">
              <w:rPr>
                <w:b/>
              </w:rPr>
              <w:t xml:space="preserve"> 5.79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CB6EBD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CB6EBD">
              <w:rPr>
                <w:b/>
              </w:rPr>
              <w:t xml:space="preserve"> 11.57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B6EBD" w:rsidRPr="00CB6EBD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CB6EBD">
              <w:rPr>
                <w:b/>
              </w:rPr>
              <w:t xml:space="preserve"> 17.36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B6EBD" w:rsidRPr="00CB6EBD" w:rsidRDefault="00CB6EBD" w:rsidP="00CB6EBD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</w:pPr>
            <w:r w:rsidRPr="00CB6EBD">
              <w:rPr>
                <w:b/>
              </w:rPr>
              <w:t xml:space="preserve"> 23.14 </w:t>
            </w:r>
          </w:p>
        </w:tc>
      </w:tr>
    </w:tbl>
    <w:p w:rsidR="00CD344C" w:rsidRDefault="00CD344C" w:rsidP="0060054A"/>
    <w:sectPr w:rsidR="00CD3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A3" w:rsidRDefault="00F46AA3">
      <w:pPr>
        <w:spacing w:after="0" w:line="240" w:lineRule="auto"/>
      </w:pPr>
      <w:r>
        <w:separator/>
      </w:r>
    </w:p>
  </w:endnote>
  <w:endnote w:type="continuationSeparator" w:id="0">
    <w:p w:rsidR="00F46AA3" w:rsidRDefault="00F46AA3">
      <w:pPr>
        <w:spacing w:after="0" w:line="240" w:lineRule="auto"/>
      </w:pPr>
      <w:r>
        <w:continuationSeparator/>
      </w:r>
    </w:p>
  </w:endnote>
  <w:endnote w:type="continuationNotice" w:id="1">
    <w:p w:rsidR="00F46AA3" w:rsidRDefault="00F46A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0B1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0B1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0B1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A3" w:rsidRDefault="00F46A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6AA3" w:rsidRDefault="00F46AA3">
      <w:pPr>
        <w:spacing w:after="0" w:line="240" w:lineRule="auto"/>
      </w:pPr>
      <w:r>
        <w:continuationSeparator/>
      </w:r>
    </w:p>
  </w:footnote>
  <w:footnote w:type="continuationNotice" w:id="1">
    <w:p w:rsidR="00F46AA3" w:rsidRDefault="00F46A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F227BF">
    <w:pPr>
      <w:pStyle w:val="Header"/>
    </w:pPr>
    <w:r>
      <w:rPr>
        <w:noProof/>
      </w:rPr>
      <w:pict w14:anchorId="43B75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65313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F227BF">
    <w:pPr>
      <w:pStyle w:val="Header"/>
    </w:pPr>
    <w:r>
      <w:rPr>
        <w:noProof/>
      </w:rPr>
      <w:pict w14:anchorId="6C911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65314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D" w:rsidRDefault="00F227BF">
    <w:pPr>
      <w:pStyle w:val="Header"/>
    </w:pPr>
    <w:r>
      <w:rPr>
        <w:noProof/>
      </w:rPr>
      <w:pict w14:anchorId="1595B0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65312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22DF"/>
      </v:shape>
    </w:pict>
  </w:numPicBullet>
  <w:abstractNum w:abstractNumId="0" w15:restartNumberingAfterBreak="0">
    <w:nsid w:val="027028BB"/>
    <w:multiLevelType w:val="hybridMultilevel"/>
    <w:tmpl w:val="92820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2336F"/>
    <w:multiLevelType w:val="multilevel"/>
    <w:tmpl w:val="CD2CC1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F266DA"/>
    <w:multiLevelType w:val="hybridMultilevel"/>
    <w:tmpl w:val="311A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866"/>
    <w:multiLevelType w:val="hybridMultilevel"/>
    <w:tmpl w:val="701C43F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72FDA"/>
    <w:multiLevelType w:val="multilevel"/>
    <w:tmpl w:val="075CB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316B06E7"/>
    <w:multiLevelType w:val="hybridMultilevel"/>
    <w:tmpl w:val="F1F6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7E9A"/>
    <w:multiLevelType w:val="hybridMultilevel"/>
    <w:tmpl w:val="39B436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3D71"/>
    <w:multiLevelType w:val="hybridMultilevel"/>
    <w:tmpl w:val="947616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34D1F"/>
    <w:multiLevelType w:val="hybridMultilevel"/>
    <w:tmpl w:val="25D8155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3B9B0"/>
    <w:multiLevelType w:val="hybridMultilevel"/>
    <w:tmpl w:val="5AF000E4"/>
    <w:lvl w:ilvl="0" w:tplc="A2DEAA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482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89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F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48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C8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4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D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4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749D"/>
    <w:multiLevelType w:val="hybridMultilevel"/>
    <w:tmpl w:val="C83C50C0"/>
    <w:lvl w:ilvl="0" w:tplc="2530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E81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6C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6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64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4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AB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C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A4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F6827"/>
    <w:multiLevelType w:val="multilevel"/>
    <w:tmpl w:val="F7F047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2" w15:restartNumberingAfterBreak="0">
    <w:nsid w:val="5533449A"/>
    <w:multiLevelType w:val="hybridMultilevel"/>
    <w:tmpl w:val="E2B49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061F"/>
    <w:multiLevelType w:val="hybridMultilevel"/>
    <w:tmpl w:val="0C16F46C"/>
    <w:lvl w:ilvl="0" w:tplc="5B5C64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3C8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27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AD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03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E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2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82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E2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4270D"/>
    <w:multiLevelType w:val="hybridMultilevel"/>
    <w:tmpl w:val="9218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50B3E"/>
    <w:multiLevelType w:val="hybridMultilevel"/>
    <w:tmpl w:val="1D5EF0CC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9C6E16"/>
    <w:multiLevelType w:val="hybridMultilevel"/>
    <w:tmpl w:val="482885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13"/>
  </w:num>
  <w:num w:numId="9">
    <w:abstractNumId w:val="16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E"/>
    <w:rsid w:val="00003FB1"/>
    <w:rsid w:val="00044DAD"/>
    <w:rsid w:val="0004543D"/>
    <w:rsid w:val="00067D40"/>
    <w:rsid w:val="00071427"/>
    <w:rsid w:val="000757C1"/>
    <w:rsid w:val="00090FD1"/>
    <w:rsid w:val="000960A6"/>
    <w:rsid w:val="000A0B66"/>
    <w:rsid w:val="000A2B37"/>
    <w:rsid w:val="000A31FB"/>
    <w:rsid w:val="000A49E9"/>
    <w:rsid w:val="000B191D"/>
    <w:rsid w:val="000B7184"/>
    <w:rsid w:val="000B7868"/>
    <w:rsid w:val="000D6212"/>
    <w:rsid w:val="000D76EF"/>
    <w:rsid w:val="000F32F6"/>
    <w:rsid w:val="00103DD5"/>
    <w:rsid w:val="0011193E"/>
    <w:rsid w:val="00125EC9"/>
    <w:rsid w:val="001359A1"/>
    <w:rsid w:val="0015014C"/>
    <w:rsid w:val="001541E6"/>
    <w:rsid w:val="0015466F"/>
    <w:rsid w:val="0015756A"/>
    <w:rsid w:val="00160BF3"/>
    <w:rsid w:val="001642E2"/>
    <w:rsid w:val="001650F8"/>
    <w:rsid w:val="00172B63"/>
    <w:rsid w:val="00176B4E"/>
    <w:rsid w:val="001800FD"/>
    <w:rsid w:val="00184B91"/>
    <w:rsid w:val="00197DC6"/>
    <w:rsid w:val="001A04A4"/>
    <w:rsid w:val="001B5B7C"/>
    <w:rsid w:val="001C29FE"/>
    <w:rsid w:val="001C7963"/>
    <w:rsid w:val="001F6469"/>
    <w:rsid w:val="001F7551"/>
    <w:rsid w:val="00201C68"/>
    <w:rsid w:val="00203381"/>
    <w:rsid w:val="00204802"/>
    <w:rsid w:val="00217B66"/>
    <w:rsid w:val="002405FB"/>
    <w:rsid w:val="00250CBF"/>
    <w:rsid w:val="0025746B"/>
    <w:rsid w:val="00260D64"/>
    <w:rsid w:val="0026772E"/>
    <w:rsid w:val="00267B6E"/>
    <w:rsid w:val="00276767"/>
    <w:rsid w:val="0029606A"/>
    <w:rsid w:val="002966C8"/>
    <w:rsid w:val="002A01BF"/>
    <w:rsid w:val="002A7131"/>
    <w:rsid w:val="002B3387"/>
    <w:rsid w:val="002C03B0"/>
    <w:rsid w:val="002C6066"/>
    <w:rsid w:val="002D34BA"/>
    <w:rsid w:val="002D7C50"/>
    <w:rsid w:val="0030403B"/>
    <w:rsid w:val="003065C5"/>
    <w:rsid w:val="0030671D"/>
    <w:rsid w:val="00312F79"/>
    <w:rsid w:val="00316DE4"/>
    <w:rsid w:val="003239E9"/>
    <w:rsid w:val="0033191C"/>
    <w:rsid w:val="00334233"/>
    <w:rsid w:val="00335D99"/>
    <w:rsid w:val="00342206"/>
    <w:rsid w:val="00365072"/>
    <w:rsid w:val="00375E6D"/>
    <w:rsid w:val="0038283F"/>
    <w:rsid w:val="00382B12"/>
    <w:rsid w:val="00382EDD"/>
    <w:rsid w:val="003A1A6F"/>
    <w:rsid w:val="003A5B5E"/>
    <w:rsid w:val="003B657A"/>
    <w:rsid w:val="003E32CD"/>
    <w:rsid w:val="003E42A1"/>
    <w:rsid w:val="00403A65"/>
    <w:rsid w:val="004147E1"/>
    <w:rsid w:val="004156EA"/>
    <w:rsid w:val="00420D7C"/>
    <w:rsid w:val="00420E7B"/>
    <w:rsid w:val="00423B70"/>
    <w:rsid w:val="00424118"/>
    <w:rsid w:val="00436C2E"/>
    <w:rsid w:val="0044021A"/>
    <w:rsid w:val="00444AB1"/>
    <w:rsid w:val="00446C77"/>
    <w:rsid w:val="00446D0F"/>
    <w:rsid w:val="004475F4"/>
    <w:rsid w:val="004501BD"/>
    <w:rsid w:val="00450AB2"/>
    <w:rsid w:val="00470A76"/>
    <w:rsid w:val="00475461"/>
    <w:rsid w:val="00476BFE"/>
    <w:rsid w:val="00480E35"/>
    <w:rsid w:val="00492337"/>
    <w:rsid w:val="00494322"/>
    <w:rsid w:val="00495D18"/>
    <w:rsid w:val="00497B21"/>
    <w:rsid w:val="004A0C46"/>
    <w:rsid w:val="004B0E53"/>
    <w:rsid w:val="004B2B32"/>
    <w:rsid w:val="004B7134"/>
    <w:rsid w:val="004C0A7B"/>
    <w:rsid w:val="004C71B2"/>
    <w:rsid w:val="004E6FA0"/>
    <w:rsid w:val="004F543D"/>
    <w:rsid w:val="00510BE8"/>
    <w:rsid w:val="00512CDA"/>
    <w:rsid w:val="00520C79"/>
    <w:rsid w:val="00525189"/>
    <w:rsid w:val="00526103"/>
    <w:rsid w:val="0052634E"/>
    <w:rsid w:val="005272E6"/>
    <w:rsid w:val="005322CB"/>
    <w:rsid w:val="0053402E"/>
    <w:rsid w:val="005343A9"/>
    <w:rsid w:val="00535FC3"/>
    <w:rsid w:val="00551AD5"/>
    <w:rsid w:val="00552D97"/>
    <w:rsid w:val="0055392C"/>
    <w:rsid w:val="00553FAB"/>
    <w:rsid w:val="00563DE8"/>
    <w:rsid w:val="00564529"/>
    <w:rsid w:val="005706EF"/>
    <w:rsid w:val="00570970"/>
    <w:rsid w:val="0057140D"/>
    <w:rsid w:val="00571650"/>
    <w:rsid w:val="00571E7A"/>
    <w:rsid w:val="0057514B"/>
    <w:rsid w:val="00585ACD"/>
    <w:rsid w:val="0058702B"/>
    <w:rsid w:val="005921D3"/>
    <w:rsid w:val="00595CFC"/>
    <w:rsid w:val="005B4277"/>
    <w:rsid w:val="005C46AA"/>
    <w:rsid w:val="005D5093"/>
    <w:rsid w:val="005D5B3D"/>
    <w:rsid w:val="005E5223"/>
    <w:rsid w:val="005F2FBB"/>
    <w:rsid w:val="0060054A"/>
    <w:rsid w:val="00605373"/>
    <w:rsid w:val="0060571C"/>
    <w:rsid w:val="0061412A"/>
    <w:rsid w:val="00625E54"/>
    <w:rsid w:val="006347ED"/>
    <w:rsid w:val="00634E5D"/>
    <w:rsid w:val="00634F28"/>
    <w:rsid w:val="0064036F"/>
    <w:rsid w:val="00646E3E"/>
    <w:rsid w:val="00653B69"/>
    <w:rsid w:val="00656D55"/>
    <w:rsid w:val="006578A0"/>
    <w:rsid w:val="0067375B"/>
    <w:rsid w:val="00676403"/>
    <w:rsid w:val="00676B85"/>
    <w:rsid w:val="0069302B"/>
    <w:rsid w:val="006A0DDA"/>
    <w:rsid w:val="006A78BA"/>
    <w:rsid w:val="006B10C8"/>
    <w:rsid w:val="006B415D"/>
    <w:rsid w:val="006B4EC6"/>
    <w:rsid w:val="006D3C72"/>
    <w:rsid w:val="006E3795"/>
    <w:rsid w:val="006E6B12"/>
    <w:rsid w:val="006F180C"/>
    <w:rsid w:val="006F18BD"/>
    <w:rsid w:val="006F68BD"/>
    <w:rsid w:val="007114DA"/>
    <w:rsid w:val="00711B7A"/>
    <w:rsid w:val="007123C8"/>
    <w:rsid w:val="007226C5"/>
    <w:rsid w:val="00726174"/>
    <w:rsid w:val="007411CF"/>
    <w:rsid w:val="007531F3"/>
    <w:rsid w:val="0075671D"/>
    <w:rsid w:val="00772709"/>
    <w:rsid w:val="00777108"/>
    <w:rsid w:val="00786765"/>
    <w:rsid w:val="00790760"/>
    <w:rsid w:val="007917EA"/>
    <w:rsid w:val="00795BCB"/>
    <w:rsid w:val="007A2072"/>
    <w:rsid w:val="007C18C5"/>
    <w:rsid w:val="007C3F05"/>
    <w:rsid w:val="007C522D"/>
    <w:rsid w:val="007D1A75"/>
    <w:rsid w:val="007D2A6F"/>
    <w:rsid w:val="007E2F99"/>
    <w:rsid w:val="007E736F"/>
    <w:rsid w:val="007F17FB"/>
    <w:rsid w:val="00804058"/>
    <w:rsid w:val="00813250"/>
    <w:rsid w:val="00815280"/>
    <w:rsid w:val="00816D38"/>
    <w:rsid w:val="00823AEE"/>
    <w:rsid w:val="00826E4E"/>
    <w:rsid w:val="00836897"/>
    <w:rsid w:val="008511A1"/>
    <w:rsid w:val="0085246F"/>
    <w:rsid w:val="00853FF1"/>
    <w:rsid w:val="00867A8D"/>
    <w:rsid w:val="008721E2"/>
    <w:rsid w:val="008769DE"/>
    <w:rsid w:val="008A0742"/>
    <w:rsid w:val="008A6D26"/>
    <w:rsid w:val="008C0D0C"/>
    <w:rsid w:val="008E48EC"/>
    <w:rsid w:val="008E7A25"/>
    <w:rsid w:val="008F006F"/>
    <w:rsid w:val="008F754B"/>
    <w:rsid w:val="00921C17"/>
    <w:rsid w:val="00933E12"/>
    <w:rsid w:val="00937642"/>
    <w:rsid w:val="009443CC"/>
    <w:rsid w:val="00953E5E"/>
    <w:rsid w:val="00961B05"/>
    <w:rsid w:val="00962110"/>
    <w:rsid w:val="009650A6"/>
    <w:rsid w:val="00972DA2"/>
    <w:rsid w:val="009819AE"/>
    <w:rsid w:val="00994531"/>
    <w:rsid w:val="009B6904"/>
    <w:rsid w:val="009C76B1"/>
    <w:rsid w:val="009E02C0"/>
    <w:rsid w:val="009E1D78"/>
    <w:rsid w:val="009F6095"/>
    <w:rsid w:val="00A079D4"/>
    <w:rsid w:val="00A421CF"/>
    <w:rsid w:val="00A5070F"/>
    <w:rsid w:val="00A52372"/>
    <w:rsid w:val="00A64E6D"/>
    <w:rsid w:val="00A76820"/>
    <w:rsid w:val="00A84FD6"/>
    <w:rsid w:val="00AA79FD"/>
    <w:rsid w:val="00AC172F"/>
    <w:rsid w:val="00AD387A"/>
    <w:rsid w:val="00AE24BD"/>
    <w:rsid w:val="00AE66CE"/>
    <w:rsid w:val="00AE7B58"/>
    <w:rsid w:val="00B01E78"/>
    <w:rsid w:val="00B03B2B"/>
    <w:rsid w:val="00B15E14"/>
    <w:rsid w:val="00B25B7B"/>
    <w:rsid w:val="00B30367"/>
    <w:rsid w:val="00B3277C"/>
    <w:rsid w:val="00B357E1"/>
    <w:rsid w:val="00B37A30"/>
    <w:rsid w:val="00B47FD1"/>
    <w:rsid w:val="00B52E58"/>
    <w:rsid w:val="00B63C57"/>
    <w:rsid w:val="00B81B8E"/>
    <w:rsid w:val="00B86835"/>
    <w:rsid w:val="00B95204"/>
    <w:rsid w:val="00BA08CF"/>
    <w:rsid w:val="00BA3A56"/>
    <w:rsid w:val="00BA5295"/>
    <w:rsid w:val="00BB1821"/>
    <w:rsid w:val="00BC0CE4"/>
    <w:rsid w:val="00BF02D2"/>
    <w:rsid w:val="00BF26ED"/>
    <w:rsid w:val="00BF394D"/>
    <w:rsid w:val="00C02379"/>
    <w:rsid w:val="00C042EE"/>
    <w:rsid w:val="00C137A0"/>
    <w:rsid w:val="00C416E7"/>
    <w:rsid w:val="00C47D16"/>
    <w:rsid w:val="00C61FE1"/>
    <w:rsid w:val="00C8136B"/>
    <w:rsid w:val="00C9783D"/>
    <w:rsid w:val="00C97905"/>
    <w:rsid w:val="00CB0BC8"/>
    <w:rsid w:val="00CB3225"/>
    <w:rsid w:val="00CB6EBD"/>
    <w:rsid w:val="00CC302F"/>
    <w:rsid w:val="00CD344C"/>
    <w:rsid w:val="00CD455E"/>
    <w:rsid w:val="00CD699E"/>
    <w:rsid w:val="00CE2DF7"/>
    <w:rsid w:val="00D00608"/>
    <w:rsid w:val="00D00A8F"/>
    <w:rsid w:val="00D12C1F"/>
    <w:rsid w:val="00D23F93"/>
    <w:rsid w:val="00D2742E"/>
    <w:rsid w:val="00D40E74"/>
    <w:rsid w:val="00D539AA"/>
    <w:rsid w:val="00D749A0"/>
    <w:rsid w:val="00D80AEA"/>
    <w:rsid w:val="00D96FF4"/>
    <w:rsid w:val="00DB5286"/>
    <w:rsid w:val="00DC45D9"/>
    <w:rsid w:val="00DD4ECB"/>
    <w:rsid w:val="00DE1F21"/>
    <w:rsid w:val="00DF18D5"/>
    <w:rsid w:val="00DF42A8"/>
    <w:rsid w:val="00E0004D"/>
    <w:rsid w:val="00E02843"/>
    <w:rsid w:val="00E10CDF"/>
    <w:rsid w:val="00E23849"/>
    <w:rsid w:val="00E27F3F"/>
    <w:rsid w:val="00E33418"/>
    <w:rsid w:val="00E45CC3"/>
    <w:rsid w:val="00E50228"/>
    <w:rsid w:val="00E50996"/>
    <w:rsid w:val="00E514A6"/>
    <w:rsid w:val="00E6057B"/>
    <w:rsid w:val="00E67BA8"/>
    <w:rsid w:val="00E67EA8"/>
    <w:rsid w:val="00E77F96"/>
    <w:rsid w:val="00E84C5D"/>
    <w:rsid w:val="00E9490A"/>
    <w:rsid w:val="00E97A4F"/>
    <w:rsid w:val="00EA14B0"/>
    <w:rsid w:val="00EA69D5"/>
    <w:rsid w:val="00ED0382"/>
    <w:rsid w:val="00EF0317"/>
    <w:rsid w:val="00F06851"/>
    <w:rsid w:val="00F07DFD"/>
    <w:rsid w:val="00F12437"/>
    <w:rsid w:val="00F219AA"/>
    <w:rsid w:val="00F237EC"/>
    <w:rsid w:val="00F25400"/>
    <w:rsid w:val="00F263B6"/>
    <w:rsid w:val="00F46AA3"/>
    <w:rsid w:val="00F63D2E"/>
    <w:rsid w:val="00F66C4D"/>
    <w:rsid w:val="00F767C6"/>
    <w:rsid w:val="00F823D1"/>
    <w:rsid w:val="00F93577"/>
    <w:rsid w:val="00F93B6C"/>
    <w:rsid w:val="00F94727"/>
    <w:rsid w:val="00FA1929"/>
    <w:rsid w:val="00FA3EB2"/>
    <w:rsid w:val="00FA668D"/>
    <w:rsid w:val="00FC0638"/>
    <w:rsid w:val="00FC50C0"/>
    <w:rsid w:val="00FD2C14"/>
    <w:rsid w:val="00FD589F"/>
    <w:rsid w:val="00FE260D"/>
    <w:rsid w:val="00FE5FE5"/>
    <w:rsid w:val="00FF0FF0"/>
    <w:rsid w:val="00FF69C4"/>
    <w:rsid w:val="026CCB8C"/>
    <w:rsid w:val="03F458BA"/>
    <w:rsid w:val="04E9A816"/>
    <w:rsid w:val="0647515E"/>
    <w:rsid w:val="07999DAE"/>
    <w:rsid w:val="09995164"/>
    <w:rsid w:val="09B2692C"/>
    <w:rsid w:val="09B60837"/>
    <w:rsid w:val="0B2E3159"/>
    <w:rsid w:val="0EC3495A"/>
    <w:rsid w:val="0FA13891"/>
    <w:rsid w:val="1058294F"/>
    <w:rsid w:val="1139BE95"/>
    <w:rsid w:val="138FA97B"/>
    <w:rsid w:val="13EF9726"/>
    <w:rsid w:val="1408AEEE"/>
    <w:rsid w:val="14D325B7"/>
    <w:rsid w:val="1A25857B"/>
    <w:rsid w:val="1B95550C"/>
    <w:rsid w:val="1CFD7BC6"/>
    <w:rsid w:val="1E86EEC9"/>
    <w:rsid w:val="1EFDB3D2"/>
    <w:rsid w:val="1FDDFFB7"/>
    <w:rsid w:val="24733F11"/>
    <w:rsid w:val="26DD9A5C"/>
    <w:rsid w:val="2719A410"/>
    <w:rsid w:val="299ED79B"/>
    <w:rsid w:val="29F95510"/>
    <w:rsid w:val="2A5763C7"/>
    <w:rsid w:val="2D6D2F9C"/>
    <w:rsid w:val="2DD70B02"/>
    <w:rsid w:val="30B82CFB"/>
    <w:rsid w:val="31862535"/>
    <w:rsid w:val="338DFF65"/>
    <w:rsid w:val="35C5E500"/>
    <w:rsid w:val="36E1BF82"/>
    <w:rsid w:val="37606B55"/>
    <w:rsid w:val="39131A38"/>
    <w:rsid w:val="398C979E"/>
    <w:rsid w:val="3BC89F7D"/>
    <w:rsid w:val="3C26AE34"/>
    <w:rsid w:val="3C6BA523"/>
    <w:rsid w:val="3D42CF97"/>
    <w:rsid w:val="3DDCBD43"/>
    <w:rsid w:val="3EA7061D"/>
    <w:rsid w:val="3FE6B06B"/>
    <w:rsid w:val="411B4E71"/>
    <w:rsid w:val="419C7D84"/>
    <w:rsid w:val="427FEF84"/>
    <w:rsid w:val="432533D9"/>
    <w:rsid w:val="46C1EAE5"/>
    <w:rsid w:val="477C17A5"/>
    <w:rsid w:val="4941AB56"/>
    <w:rsid w:val="4BB07011"/>
    <w:rsid w:val="4CFD514C"/>
    <w:rsid w:val="4E805D61"/>
    <w:rsid w:val="51A0921C"/>
    <w:rsid w:val="52306C1E"/>
    <w:rsid w:val="57718B2E"/>
    <w:rsid w:val="5917FB07"/>
    <w:rsid w:val="591B9A12"/>
    <w:rsid w:val="59BD5683"/>
    <w:rsid w:val="59EEDE9A"/>
    <w:rsid w:val="5B36C8DA"/>
    <w:rsid w:val="5C0DAC6D"/>
    <w:rsid w:val="5EBAC7D9"/>
    <w:rsid w:val="61C7D0F0"/>
    <w:rsid w:val="61DCFFDF"/>
    <w:rsid w:val="630E383C"/>
    <w:rsid w:val="6653D0A3"/>
    <w:rsid w:val="6663F22F"/>
    <w:rsid w:val="67697148"/>
    <w:rsid w:val="684B1F03"/>
    <w:rsid w:val="6956048A"/>
    <w:rsid w:val="6AFB4413"/>
    <w:rsid w:val="6BF22BE7"/>
    <w:rsid w:val="6C2FA696"/>
    <w:rsid w:val="6F551FFC"/>
    <w:rsid w:val="703D9373"/>
    <w:rsid w:val="71D27368"/>
    <w:rsid w:val="72BA8238"/>
    <w:rsid w:val="73398ADD"/>
    <w:rsid w:val="77E6BDC9"/>
    <w:rsid w:val="78749480"/>
    <w:rsid w:val="79575F07"/>
    <w:rsid w:val="7AC821B8"/>
    <w:rsid w:val="7C74050C"/>
    <w:rsid w:val="7D0F6C8A"/>
    <w:rsid w:val="7D407DBF"/>
    <w:rsid w:val="7E4200C7"/>
    <w:rsid w:val="7F1AC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F4A5977-8A3A-4136-B4B6-1B134377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eastAsia="Times New Roman"/>
      <w:b/>
      <w:bCs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bCs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normaltextrun">
    <w:name w:val="normaltextrun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B3277C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2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2E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16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E238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23849"/>
    <w:pPr>
      <w:autoSpaceDN/>
      <w:spacing w:after="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359BA5684494486E7DB1B07A17C4F" ma:contentTypeVersion="7" ma:contentTypeDescription="Create a new document." ma:contentTypeScope="" ma:versionID="32b1270456b2bea4e2ae38059a5a76c4">
  <xsd:schema xmlns:xsd="http://www.w3.org/2001/XMLSchema" xmlns:xs="http://www.w3.org/2001/XMLSchema" xmlns:p="http://schemas.microsoft.com/office/2006/metadata/properties" xmlns:ns2="d801dfb0-0264-48a9-8f99-8a9b41061805" xmlns:ns3="a1227a87-bb63-41f3-b7e8-585edb0d69ca" targetNamespace="http://schemas.microsoft.com/office/2006/metadata/properties" ma:root="true" ma:fieldsID="935b8eb14046b489b542bb76448bf783" ns2:_="" ns3:_="">
    <xsd:import namespace="d801dfb0-0264-48a9-8f99-8a9b41061805"/>
    <xsd:import namespace="a1227a87-bb63-41f3-b7e8-585edb0d6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dfb0-0264-48a9-8f99-8a9b41061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7a87-bb63-41f3-b7e8-585edb0d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227a87-bb63-41f3-b7e8-585edb0d69ca">
      <UserInfo>
        <DisplayName>Stirrup, Adrian</DisplayName>
        <AccountId>24</AccountId>
        <AccountType/>
      </UserInfo>
    </SharedWithUsers>
  </documentManagement>
</p:properties>
</file>

<file path=customXml/item4.xml><?xml version="1.0" encoding="utf-8"?>
<?mso-contentType ?>
<SharedContentType xmlns="Microsoft.SharePoint.Taxonomy.ContentTypeSync" SourceId="7931cdb5-da7d-4a5d-b523-19dbfe538874" ContentTypeId="0x01" PreviousValue="false"/>
</file>

<file path=customXml/itemProps1.xml><?xml version="1.0" encoding="utf-8"?>
<ds:datastoreItem xmlns:ds="http://schemas.openxmlformats.org/officeDocument/2006/customXml" ds:itemID="{551C309B-6BFC-4849-A321-894A737B0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FE5C5-221C-4279-B9F7-8C770150A70E}"/>
</file>

<file path=customXml/itemProps3.xml><?xml version="1.0" encoding="utf-8"?>
<ds:datastoreItem xmlns:ds="http://schemas.openxmlformats.org/officeDocument/2006/customXml" ds:itemID="{8C9F7785-5A06-49E2-869A-9EDA182513C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4dfced2-6fb7-4063-b524-e116c11d2d5d"/>
    <ds:schemaRef ds:uri="http://purl.org/dc/elements/1.1/"/>
    <ds:schemaRef ds:uri="http://schemas.microsoft.com/office/infopath/2007/PartnerControls"/>
    <ds:schemaRef ds:uri="66c6f080-8ca7-4835-b155-ae1d8b7a7aa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E7031A-ED7C-4D1D-A899-A0E5FD66E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Ashong, Ken</dc:creator>
  <cp:keywords/>
  <dc:description/>
  <cp:lastModifiedBy>Ashong, Ken</cp:lastModifiedBy>
  <cp:revision>2</cp:revision>
  <dcterms:created xsi:type="dcterms:W3CDTF">2022-10-14T13:03:00Z</dcterms:created>
  <dcterms:modified xsi:type="dcterms:W3CDTF">2022-10-14T13:03:00Z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0x0101008BA359BA5684494486E7DB1B07A17C4F</vt:lpwstr>
  </property>
</Properties>
</file>